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15102" w14:textId="754DAF73" w:rsidR="0059586F" w:rsidRDefault="39972417">
      <w:pPr>
        <w:spacing w:after="500"/>
        <w:jc w:val="center"/>
      </w:pPr>
      <w:r w:rsidRPr="39972417">
        <w:rPr>
          <w:b/>
          <w:bCs/>
          <w:color w:val="A46B12"/>
          <w:sz w:val="20"/>
          <w:szCs w:val="20"/>
        </w:rPr>
        <w:t>STATE POLICY AND ADVOCACY PACKET</w:t>
      </w:r>
    </w:p>
    <w:p w14:paraId="476694F4" w14:textId="6DE9CAA8" w:rsidR="0059586F" w:rsidRDefault="39972417">
      <w:pPr>
        <w:spacing w:after="200"/>
        <w:jc w:val="center"/>
      </w:pPr>
      <w:r w:rsidRPr="39972417">
        <w:rPr>
          <w:b/>
          <w:bCs/>
          <w:color w:val="163A5F"/>
          <w:sz w:val="50"/>
          <w:szCs w:val="50"/>
        </w:rPr>
        <w:t>Fair Coverage and Reimbursement</w:t>
      </w:r>
      <w:r w:rsidR="007648D9">
        <w:br/>
      </w:r>
      <w:r w:rsidRPr="39972417">
        <w:rPr>
          <w:b/>
          <w:bCs/>
          <w:color w:val="163A5F"/>
          <w:sz w:val="50"/>
          <w:szCs w:val="50"/>
        </w:rPr>
        <w:t xml:space="preserve">for Licensed Acupuncture in Connecticut </w:t>
      </w:r>
    </w:p>
    <w:p w14:paraId="384D9630" w14:textId="23DD3D8D" w:rsidR="0059586F" w:rsidRDefault="39972417" w:rsidP="39972417">
      <w:pPr>
        <w:spacing w:after="200"/>
        <w:jc w:val="center"/>
        <w:rPr>
          <w:b/>
          <w:bCs/>
          <w:i/>
          <w:iCs/>
          <w:color w:val="163A5F"/>
          <w:sz w:val="50"/>
          <w:szCs w:val="50"/>
        </w:rPr>
      </w:pPr>
      <w:r w:rsidRPr="39972417">
        <w:rPr>
          <w:b/>
          <w:bCs/>
          <w:i/>
          <w:iCs/>
          <w:color w:val="163A5F"/>
          <w:sz w:val="50"/>
          <w:szCs w:val="50"/>
        </w:rPr>
        <w:t>(fill in Your State)</w:t>
      </w:r>
    </w:p>
    <w:p w14:paraId="13878ED3" w14:textId="77777777" w:rsidR="0059586F" w:rsidRDefault="007648D9">
      <w:pPr>
        <w:spacing w:after="440"/>
        <w:jc w:val="center"/>
      </w:pPr>
      <w:r>
        <w:rPr>
          <w:color w:val="2E74B5"/>
          <w:sz w:val="24"/>
        </w:rPr>
        <w:t>Commercial insurance • Workers’ compensation • Medicaid • Medicare • Motor-vehicle and personal-injury claims</w:t>
      </w:r>
    </w:p>
    <w:tbl>
      <w:tblPr>
        <w:tblW w:w="0" w:type="auto"/>
        <w:tblLayout w:type="fixed"/>
        <w:tblLook w:val="04A0" w:firstRow="1" w:lastRow="0" w:firstColumn="1" w:lastColumn="0" w:noHBand="0" w:noVBand="1"/>
      </w:tblPr>
      <w:tblGrid>
        <w:gridCol w:w="9360"/>
      </w:tblGrid>
      <w:tr w:rsidR="0059586F" w14:paraId="6AEC5C87" w14:textId="77777777" w:rsidTr="39972417">
        <w:tc>
          <w:tcPr>
            <w:tcW w:w="9360" w:type="dxa"/>
            <w:shd w:val="clear" w:color="auto" w:fill="E7F1EC"/>
          </w:tcPr>
          <w:p w14:paraId="527EF0E5" w14:textId="42E6BA5A" w:rsidR="0059586F" w:rsidRDefault="39972417">
            <w:r w:rsidRPr="39972417">
              <w:rPr>
                <w:b/>
                <w:bCs/>
                <w:color w:val="163A5F"/>
                <w:sz w:val="18"/>
                <w:szCs w:val="18"/>
              </w:rPr>
              <w:t>CORE REQUEST Connecticut</w:t>
            </w:r>
            <w:r w:rsidRPr="39972417">
              <w:rPr>
                <w:color w:val="202020"/>
                <w:sz w:val="20"/>
                <w:szCs w:val="20"/>
              </w:rPr>
              <w:t xml:space="preserve"> payers and public programs should make licensed acupuncture routinely available and </w:t>
            </w:r>
            <w:proofErr w:type="gramStart"/>
            <w:r w:rsidRPr="39972417">
              <w:rPr>
                <w:color w:val="202020"/>
                <w:sz w:val="20"/>
                <w:szCs w:val="20"/>
              </w:rPr>
              <w:t>fairly reimbursable</w:t>
            </w:r>
            <w:proofErr w:type="gramEnd"/>
            <w:r w:rsidRPr="39972417">
              <w:rPr>
                <w:color w:val="202020"/>
                <w:sz w:val="20"/>
                <w:szCs w:val="20"/>
              </w:rPr>
              <w:t xml:space="preserve"> for appropriate pain and musculoskeletal conditions. Authorization should be based on diagnosis, functional goals, medical necessity, and objective response—not blanket exclusion or mandatory failure of invasive or prolonged pharmacologic care first.</w:t>
            </w:r>
          </w:p>
        </w:tc>
      </w:tr>
    </w:tbl>
    <w:p w14:paraId="08A690FF" w14:textId="77777777" w:rsidR="0059586F" w:rsidRDefault="0059586F">
      <w:pPr>
        <w:spacing w:after="20"/>
      </w:pPr>
    </w:p>
    <w:p w14:paraId="7915341D" w14:textId="77777777" w:rsidR="0059586F" w:rsidRDefault="007648D9">
      <w:pPr>
        <w:spacing w:after="400"/>
        <w:jc w:val="center"/>
      </w:pPr>
      <w:r>
        <w:rPr>
          <w:color w:val="5B6573"/>
          <w:sz w:val="20"/>
        </w:rPr>
        <w:t>Prepared for state acupuncture associations, licensed practitioners, insurance carriers, employers, benefit managers, utilization reviewers, policymakers, attorneys, and patients.</w:t>
      </w:r>
    </w:p>
    <w:p w14:paraId="3D7D468E" w14:textId="77777777" w:rsidR="0059586F" w:rsidRDefault="007648D9">
      <w:pPr>
        <w:spacing w:after="80"/>
        <w:jc w:val="center"/>
      </w:pPr>
      <w:r>
        <w:rPr>
          <w:b/>
          <w:color w:val="163A5F"/>
          <w:sz w:val="24"/>
        </w:rPr>
        <w:t>[STATE ASSOCIATION OR PRACTITIONER NAME]</w:t>
      </w:r>
    </w:p>
    <w:p w14:paraId="0A087F8B" w14:textId="77777777" w:rsidR="0059586F" w:rsidRDefault="39972417">
      <w:pPr>
        <w:jc w:val="center"/>
      </w:pPr>
      <w:proofErr w:type="spellStart"/>
      <w:r w:rsidRPr="39972417">
        <w:rPr>
          <w:color w:val="5B6573"/>
          <w:sz w:val="18"/>
          <w:szCs w:val="18"/>
        </w:rPr>
        <w:t>Rebrandable</w:t>
      </w:r>
      <w:proofErr w:type="spellEnd"/>
      <w:r w:rsidRPr="39972417">
        <w:rPr>
          <w:color w:val="5B6573"/>
          <w:sz w:val="18"/>
          <w:szCs w:val="18"/>
        </w:rPr>
        <w:t xml:space="preserve"> edition | Evidence and policy review current through August 15, 2026</w:t>
      </w:r>
    </w:p>
    <w:p w14:paraId="1E75AC78" w14:textId="321961B2" w:rsidR="39972417" w:rsidRDefault="39972417" w:rsidP="39972417">
      <w:pPr>
        <w:jc w:val="center"/>
        <w:rPr>
          <w:color w:val="5B6573"/>
          <w:sz w:val="18"/>
          <w:szCs w:val="18"/>
        </w:rPr>
      </w:pPr>
    </w:p>
    <w:p w14:paraId="5973F1A2" w14:textId="673379F8" w:rsidR="0059586F" w:rsidRDefault="39972417">
      <w:pPr>
        <w:pStyle w:val="Heading1"/>
      </w:pPr>
      <w:r>
        <w:t>Executive summary</w:t>
      </w:r>
    </w:p>
    <w:p w14:paraId="5009C5BF" w14:textId="77777777" w:rsidR="0059586F" w:rsidRDefault="007648D9">
      <w:r>
        <w:rPr>
          <w:color w:val="202020"/>
        </w:rPr>
        <w:t>The evidence supports a measured but strong proposition: licensed acupuncture is a reasonable, low-risk, nonpharmacologic option for selected pain and musculoskeletal conditions, with the strongest policy case for chronic nonspecific low-back pain. Evidence also supports consideration for neck pain, knee osteoarthritis pain, chronic headache, and broader chronic musculoskeletal pain. Evidence for shoulder, myofascial, and repetitive-strain disorders is promising or mixed; neuropathy, CRPS, post-concussion/TBI symptoms, anxiety, and PTSD require individualized review and should not anchor broad claims.</w:t>
      </w:r>
    </w:p>
    <w:p w14:paraId="21F3FE77" w14:textId="77777777" w:rsidR="0059586F" w:rsidRDefault="007648D9">
      <w:r>
        <w:rPr>
          <w:color w:val="202020"/>
        </w:rPr>
        <w:t>Major clinical guidelines, federal reviews, and pragmatic trials support access while counseling realistic expectations. CMS covers acupuncture for chronic low-back pain through a staged model: 12 visits in 90 days, up to 8 more for patients who improve, and discontinuation for nonresponse. This is a useful utilization principle even though Medicare’s provider and billing rules should not be imported wholesale into state law.</w:t>
      </w:r>
    </w:p>
    <w:tbl>
      <w:tblPr>
        <w:tblW w:w="0" w:type="auto"/>
        <w:tblLayout w:type="fixed"/>
        <w:tblLook w:val="04A0" w:firstRow="1" w:lastRow="0" w:firstColumn="1" w:lastColumn="0" w:noHBand="0" w:noVBand="1"/>
      </w:tblPr>
      <w:tblGrid>
        <w:gridCol w:w="9360"/>
      </w:tblGrid>
      <w:tr w:rsidR="0059586F" w14:paraId="4C147594" w14:textId="77777777">
        <w:tc>
          <w:tcPr>
            <w:tcW w:w="9360" w:type="dxa"/>
            <w:shd w:val="clear" w:color="auto" w:fill="EAF1F7"/>
          </w:tcPr>
          <w:p w14:paraId="2875D90C" w14:textId="77777777" w:rsidR="0059586F" w:rsidRDefault="007648D9">
            <w:r>
              <w:rPr>
                <w:b/>
                <w:color w:val="163A5F"/>
                <w:sz w:val="18"/>
              </w:rPr>
              <w:t xml:space="preserve">POLICY </w:t>
            </w:r>
            <w:proofErr w:type="gramStart"/>
            <w:r>
              <w:rPr>
                <w:b/>
                <w:color w:val="163A5F"/>
                <w:sz w:val="18"/>
              </w:rPr>
              <w:t xml:space="preserve">BALANCE  </w:t>
            </w:r>
            <w:r>
              <w:rPr>
                <w:color w:val="202020"/>
                <w:sz w:val="20"/>
              </w:rPr>
              <w:t>Routine</w:t>
            </w:r>
            <w:proofErr w:type="gramEnd"/>
            <w:r>
              <w:rPr>
                <w:color w:val="202020"/>
                <w:sz w:val="20"/>
              </w:rPr>
              <w:t xml:space="preserve"> availability does not mean unlimited care. Payers can protect value through an initial 6–12-visit block, baseline measures, reassessment, clinically meaningful functional progress, and stop rules.</w:t>
            </w:r>
          </w:p>
        </w:tc>
      </w:tr>
    </w:tbl>
    <w:p w14:paraId="47EF8EE6" w14:textId="77777777" w:rsidR="0059586F" w:rsidRDefault="0059586F">
      <w:pPr>
        <w:spacing w:after="20"/>
      </w:pPr>
    </w:p>
    <w:p w14:paraId="4C49E91E" w14:textId="77777777" w:rsidR="0059586F" w:rsidRDefault="007648D9">
      <w:pPr>
        <w:pStyle w:val="Heading2"/>
      </w:pPr>
      <w:r>
        <w:t>Requested decisions</w:t>
      </w:r>
    </w:p>
    <w:p w14:paraId="4A80FC63" w14:textId="77777777" w:rsidR="0059586F" w:rsidRDefault="007648D9">
      <w:pPr>
        <w:pStyle w:val="ListBullet"/>
        <w:spacing w:after="80"/>
        <w:ind w:left="547" w:hanging="274"/>
      </w:pPr>
      <w:r>
        <w:rPr>
          <w:color w:val="202020"/>
          <w:sz w:val="20"/>
        </w:rPr>
        <w:t>Cover licensed acupuncture for evidence-supported diagnoses in commercial, public, workers’ compensation, motor-vehicle, and personal-injury benefit systems when applicable.</w:t>
      </w:r>
    </w:p>
    <w:p w14:paraId="515F4FA9" w14:textId="77777777" w:rsidR="0059586F" w:rsidRDefault="007648D9">
      <w:pPr>
        <w:pStyle w:val="ListBullet"/>
        <w:spacing w:after="80"/>
        <w:ind w:left="547" w:hanging="274"/>
      </w:pPr>
      <w:r>
        <w:rPr>
          <w:color w:val="202020"/>
          <w:sz w:val="20"/>
        </w:rPr>
        <w:t>Remove blanket “alternative medicine” exclusions and mandatory failure of opioids, injections, surgery, or prolonged medication treatment.</w:t>
      </w:r>
    </w:p>
    <w:p w14:paraId="507FDD3C" w14:textId="5568008A" w:rsidR="0059586F" w:rsidRDefault="39972417">
      <w:pPr>
        <w:pStyle w:val="ListBullet"/>
        <w:spacing w:after="80"/>
        <w:ind w:left="547" w:hanging="274"/>
      </w:pPr>
      <w:r w:rsidRPr="39972417">
        <w:rPr>
          <w:color w:val="202020"/>
          <w:sz w:val="20"/>
          <w:szCs w:val="20"/>
        </w:rPr>
        <w:t>Permit direct participation and reimbursement of qualified licensed acupuncturists for covered services within a lawful scope.</w:t>
      </w:r>
    </w:p>
    <w:p w14:paraId="545734A4" w14:textId="77777777" w:rsidR="0059586F" w:rsidRDefault="007648D9">
      <w:pPr>
        <w:pStyle w:val="ListBullet"/>
        <w:spacing w:after="80"/>
        <w:ind w:left="547" w:hanging="274"/>
      </w:pPr>
      <w:r>
        <w:rPr>
          <w:color w:val="202020"/>
          <w:sz w:val="20"/>
        </w:rPr>
        <w:t>Use transparent authorization, denial, peer-review, appeal, coding, credentialing, and network standards.</w:t>
      </w:r>
    </w:p>
    <w:p w14:paraId="308B5C5C" w14:textId="77777777" w:rsidR="0059586F" w:rsidRDefault="007648D9">
      <w:pPr>
        <w:pStyle w:val="ListBullet"/>
        <w:spacing w:after="80"/>
        <w:ind w:left="547" w:hanging="274"/>
      </w:pPr>
      <w:r>
        <w:rPr>
          <w:color w:val="202020"/>
          <w:sz w:val="20"/>
        </w:rPr>
        <w:t>Set reimbursement at sustainable levels that reflect professional services, documentation, malpractice, overhead, and geographic access.</w:t>
      </w:r>
    </w:p>
    <w:p w14:paraId="0850DCED" w14:textId="4BF3C361" w:rsidR="0059586F" w:rsidRDefault="39972417" w:rsidP="39972417">
      <w:pPr>
        <w:pStyle w:val="ListBullet"/>
        <w:spacing w:after="80"/>
        <w:ind w:left="547" w:hanging="274"/>
      </w:pPr>
      <w:r w:rsidRPr="39972417">
        <w:rPr>
          <w:color w:val="202020"/>
          <w:sz w:val="20"/>
          <w:szCs w:val="20"/>
        </w:rPr>
        <w:t xml:space="preserve">Prohibit arbitrary visit limits or payment reductions unsupported by evidence, actuarial analysis, or transparent public processes. </w:t>
      </w:r>
    </w:p>
    <w:p w14:paraId="2138285F" w14:textId="77777777" w:rsidR="0059586F" w:rsidRDefault="007648D9">
      <w:pPr>
        <w:pStyle w:val="Heading1"/>
      </w:pPr>
      <w:r>
        <w:t>Executive summary — implementation model</w:t>
      </w:r>
    </w:p>
    <w:p w14:paraId="027187CD" w14:textId="77777777" w:rsidR="0059586F" w:rsidRDefault="007648D9">
      <w:pPr>
        <w:spacing w:after="100"/>
      </w:pPr>
      <w:r>
        <w:rPr>
          <w:b/>
          <w:color w:val="163A5F"/>
          <w:sz w:val="20"/>
        </w:rPr>
        <w:t xml:space="preserve">Initial course: </w:t>
      </w:r>
      <w:proofErr w:type="gramStart"/>
      <w:r>
        <w:rPr>
          <w:color w:val="202020"/>
          <w:sz w:val="20"/>
        </w:rPr>
        <w:t>Generally</w:t>
      </w:r>
      <w:proofErr w:type="gramEnd"/>
      <w:r>
        <w:rPr>
          <w:color w:val="202020"/>
          <w:sz w:val="20"/>
        </w:rPr>
        <w:t xml:space="preserve"> 6–12 visits over 6–12 weeks, varied when diagnosis, acuity, guideline, comorbidity, travel, or patient factors justify it.</w:t>
      </w:r>
    </w:p>
    <w:p w14:paraId="58737B4B" w14:textId="77777777" w:rsidR="0059586F" w:rsidRDefault="007648D9">
      <w:pPr>
        <w:spacing w:after="100"/>
      </w:pPr>
      <w:r>
        <w:rPr>
          <w:b/>
          <w:color w:val="163A5F"/>
          <w:sz w:val="20"/>
        </w:rPr>
        <w:t xml:space="preserve">Baseline: </w:t>
      </w:r>
      <w:r>
        <w:rPr>
          <w:color w:val="202020"/>
          <w:sz w:val="20"/>
        </w:rPr>
        <w:t>Diagnosis, chronicity, prior treatment, red flags, pain interference, diagnosis-specific disability score, medications, work/activity limits, and two or three concrete functional goals.</w:t>
      </w:r>
    </w:p>
    <w:p w14:paraId="614DD273" w14:textId="77777777" w:rsidR="0059586F" w:rsidRDefault="007648D9">
      <w:pPr>
        <w:spacing w:after="100"/>
      </w:pPr>
      <w:r>
        <w:rPr>
          <w:b/>
          <w:color w:val="163A5F"/>
          <w:sz w:val="20"/>
        </w:rPr>
        <w:t xml:space="preserve">Reassessment: </w:t>
      </w:r>
      <w:r>
        <w:rPr>
          <w:color w:val="202020"/>
          <w:sz w:val="20"/>
        </w:rPr>
        <w:t>Ordinarily by visit 6 and no later than the end of the block. Compare scores, function, work capacity, medication use, self-management, and adverse events.</w:t>
      </w:r>
    </w:p>
    <w:p w14:paraId="018F6D55" w14:textId="362C2783" w:rsidR="0059586F" w:rsidRDefault="39972417">
      <w:pPr>
        <w:spacing w:after="100"/>
      </w:pPr>
      <w:r w:rsidRPr="39972417">
        <w:rPr>
          <w:b/>
          <w:bCs/>
          <w:color w:val="163A5F"/>
          <w:sz w:val="20"/>
          <w:szCs w:val="20"/>
        </w:rPr>
        <w:t xml:space="preserve">Continuation: </w:t>
      </w:r>
      <w:r w:rsidRPr="39972417">
        <w:rPr>
          <w:color w:val="202020"/>
          <w:sz w:val="20"/>
          <w:szCs w:val="20"/>
        </w:rPr>
        <w:t>A defined additional block only when improvement is clinically meaningful; care remains necessary, and further attainable goals are stated.</w:t>
      </w:r>
    </w:p>
    <w:p w14:paraId="76620A67" w14:textId="77777777" w:rsidR="0059586F" w:rsidRDefault="007648D9">
      <w:pPr>
        <w:spacing w:after="100"/>
      </w:pPr>
      <w:r>
        <w:rPr>
          <w:b/>
          <w:color w:val="163A5F"/>
          <w:sz w:val="20"/>
        </w:rPr>
        <w:t xml:space="preserve">Stop or modify: </w:t>
      </w:r>
      <w:r>
        <w:rPr>
          <w:color w:val="202020"/>
          <w:sz w:val="20"/>
        </w:rPr>
        <w:t>Discharge, change the plan, or refer when the patient worsens, fails to improve, reaches a plateau, or develops a red flag.</w:t>
      </w:r>
    </w:p>
    <w:p w14:paraId="2A35F7EC" w14:textId="77777777" w:rsidR="0059586F" w:rsidRDefault="007648D9">
      <w:pPr>
        <w:spacing w:after="100"/>
      </w:pPr>
      <w:r>
        <w:rPr>
          <w:b/>
          <w:color w:val="163A5F"/>
          <w:sz w:val="20"/>
        </w:rPr>
        <w:t xml:space="preserve">Coordination: </w:t>
      </w:r>
      <w:r>
        <w:rPr>
          <w:color w:val="202020"/>
          <w:sz w:val="20"/>
        </w:rPr>
        <w:t>Treat acupuncture, active exercise, physical therapy, behavioral care, and return-to-function planning as complementary when clinically appropriate.</w:t>
      </w:r>
    </w:p>
    <w:p w14:paraId="7374EA54" w14:textId="77777777" w:rsidR="0059586F" w:rsidRDefault="007648D9">
      <w:pPr>
        <w:pStyle w:val="Heading2"/>
      </w:pPr>
      <w:r>
        <w:t>Connecticut opportunity</w:t>
      </w:r>
    </w:p>
    <w:p w14:paraId="674E914C" w14:textId="77777777" w:rsidR="0059586F" w:rsidRDefault="007648D9">
      <w:r>
        <w:rPr>
          <w:color w:val="202020"/>
        </w:rPr>
        <w:t>Connecticut expressly states that any provider licensed by the state and willing to comply with workers’ compensation fee schedules and guidelines may practice within its system. This makes Connecticut especially well positioned for a monitored access policy.</w:t>
      </w:r>
    </w:p>
    <w:tbl>
      <w:tblPr>
        <w:tblW w:w="0" w:type="auto"/>
        <w:tblLayout w:type="fixed"/>
        <w:tblLook w:val="04A0" w:firstRow="1" w:lastRow="0" w:firstColumn="1" w:lastColumn="0" w:noHBand="0" w:noVBand="1"/>
      </w:tblPr>
      <w:tblGrid>
        <w:gridCol w:w="9360"/>
      </w:tblGrid>
      <w:tr w:rsidR="0059586F" w14:paraId="5D575A2A" w14:textId="77777777" w:rsidTr="39972417">
        <w:tc>
          <w:tcPr>
            <w:tcW w:w="9360" w:type="dxa"/>
            <w:shd w:val="clear" w:color="auto" w:fill="E7F1EC"/>
          </w:tcPr>
          <w:p w14:paraId="4C290952" w14:textId="62E018B7" w:rsidR="0059586F" w:rsidRDefault="39972417">
            <w:r w:rsidRPr="39972417">
              <w:rPr>
                <w:b/>
                <w:bCs/>
                <w:color w:val="163A5F"/>
                <w:sz w:val="18"/>
                <w:szCs w:val="18"/>
              </w:rPr>
              <w:t>BOTTOM LINE: Access</w:t>
            </w:r>
            <w:r w:rsidRPr="39972417">
              <w:rPr>
                <w:color w:val="202020"/>
                <w:sz w:val="20"/>
                <w:szCs w:val="20"/>
              </w:rPr>
              <w:t xml:space="preserve"> plus accountability is stronger than either categorical denial or unrestricted maintenance: authorize a reasonable trial, measure function, and continue only for demonstrated value.</w:t>
            </w:r>
          </w:p>
        </w:tc>
      </w:tr>
    </w:tbl>
    <w:p w14:paraId="7B2AF31E" w14:textId="77777777" w:rsidR="0059586F" w:rsidRDefault="0059586F">
      <w:pPr>
        <w:spacing w:after="20"/>
      </w:pPr>
    </w:p>
    <w:p w14:paraId="39BDBB63" w14:textId="77777777" w:rsidR="0059586F" w:rsidRDefault="007648D9">
      <w:r>
        <w:br w:type="page"/>
      </w:r>
    </w:p>
    <w:p w14:paraId="3ECA979C" w14:textId="77777777" w:rsidR="0059586F" w:rsidRDefault="007648D9">
      <w:pPr>
        <w:pStyle w:val="Heading1"/>
      </w:pPr>
      <w:r>
        <w:t>1. Evidence foundation</w:t>
      </w:r>
    </w:p>
    <w:p w14:paraId="7D2722EB" w14:textId="77777777" w:rsidR="0059586F" w:rsidRDefault="007648D9">
      <w:pPr>
        <w:pStyle w:val="Heading2"/>
      </w:pPr>
      <w:r>
        <w:t>Chronic low-back pain</w:t>
      </w:r>
    </w:p>
    <w:p w14:paraId="61739D1C" w14:textId="77777777" w:rsidR="0059586F" w:rsidRDefault="007648D9">
      <w:r>
        <w:rPr>
          <w:color w:val="202020"/>
        </w:rPr>
        <w:t xml:space="preserve">This is the strongest indication. ACP includes acupuncture among initial nonpharmacologic options for chronic low-back pain. VA/DoD suggests acupuncture for chronic low-back pain while finding insufficient evidence for acute low-back pain. AHRQ and Cochrane reviews report small improvements in pain or function in several comparisons, with smaller or sometimes clinically unimportant differences against sham. The evidence supports availability with honest </w:t>
      </w:r>
      <w:proofErr w:type="gramStart"/>
      <w:r>
        <w:rPr>
          <w:color w:val="202020"/>
        </w:rPr>
        <w:t>expectations—</w:t>
      </w:r>
      <w:proofErr w:type="gramEnd"/>
      <w:r>
        <w:rPr>
          <w:color w:val="202020"/>
        </w:rPr>
        <w:t>not exaggerated claims.</w:t>
      </w:r>
    </w:p>
    <w:p w14:paraId="2B5F323C" w14:textId="77777777" w:rsidR="0059586F" w:rsidRDefault="007648D9">
      <w:r>
        <w:rPr>
          <w:color w:val="202020"/>
        </w:rPr>
        <w:t>A 2025 U.S. pragmatic trial randomized 800 older adults across four health systems. Standard acupuncture (8–15 sessions over 12 weeks) and an enhanced course improved back-related disability compared with usual medical care, with benefit persisting at 12 months. The population was older than many claimants, but the multisystem, community-practitioner design improves real-world relevance.</w:t>
      </w:r>
    </w:p>
    <w:p w14:paraId="7E16F352" w14:textId="77777777" w:rsidR="0059586F" w:rsidRDefault="007648D9">
      <w:pPr>
        <w:pStyle w:val="Heading2"/>
      </w:pPr>
      <w:r>
        <w:t>Other priority conditions</w:t>
      </w:r>
    </w:p>
    <w:p w14:paraId="51819496" w14:textId="77777777" w:rsidR="0059586F" w:rsidRDefault="007648D9">
      <w:pPr>
        <w:pStyle w:val="ListBullet"/>
        <w:spacing w:after="80"/>
        <w:ind w:left="547" w:hanging="274"/>
      </w:pPr>
      <w:r>
        <w:rPr>
          <w:color w:val="202020"/>
          <w:sz w:val="20"/>
        </w:rPr>
        <w:t>Neck pain, knee osteoarthritis pain, and chronic headache: reasonable diagnosis-specific trials are supported by meta-analytic and federal evidence summaries.</w:t>
      </w:r>
    </w:p>
    <w:p w14:paraId="732E2BCF" w14:textId="77777777" w:rsidR="0059586F" w:rsidRDefault="007648D9">
      <w:pPr>
        <w:pStyle w:val="ListBullet"/>
        <w:spacing w:after="80"/>
        <w:ind w:left="547" w:hanging="274"/>
      </w:pPr>
      <w:r>
        <w:rPr>
          <w:color w:val="202020"/>
          <w:sz w:val="20"/>
        </w:rPr>
        <w:t>Shoulder pain, myofascial pain, and repetitive-strain disorders: permit bounded, documented trials where evidence and patient presentation support them.</w:t>
      </w:r>
    </w:p>
    <w:p w14:paraId="4D53A4ED" w14:textId="77777777" w:rsidR="0059586F" w:rsidRDefault="007648D9">
      <w:pPr>
        <w:pStyle w:val="ListBullet"/>
        <w:spacing w:after="80"/>
        <w:ind w:left="547" w:hanging="274"/>
      </w:pPr>
      <w:r>
        <w:rPr>
          <w:color w:val="202020"/>
          <w:sz w:val="20"/>
        </w:rPr>
        <w:t>Neuropathy, CRPS, post-concussion/TBI symptoms, anxiety, and PTSD: do not make sweeping claims. Consider only symptom-specific, coordinated, short trials with appropriate specialist care.</w:t>
      </w:r>
    </w:p>
    <w:p w14:paraId="1CEAF456" w14:textId="77777777" w:rsidR="0059586F" w:rsidRDefault="007648D9">
      <w:pPr>
        <w:pStyle w:val="Heading2"/>
      </w:pPr>
      <w:r>
        <w:t>Safety</w:t>
      </w:r>
    </w:p>
    <w:p w14:paraId="7CAC51B8" w14:textId="721EFE08" w:rsidR="0059586F" w:rsidRDefault="39972417">
      <w:r w:rsidRPr="39972417">
        <w:rPr>
          <w:color w:val="202020"/>
        </w:rPr>
        <w:t xml:space="preserve">Acupuncture is generally low risk when performed by properly trained, licensed practitioners using sterile, single-use needles. Minor soreness, bruising, or bleeding can occur; </w:t>
      </w:r>
      <w:proofErr w:type="gramStart"/>
      <w:r w:rsidRPr="39972417">
        <w:rPr>
          <w:color w:val="202020"/>
        </w:rPr>
        <w:t>rare serious</w:t>
      </w:r>
      <w:proofErr w:type="gramEnd"/>
      <w:r w:rsidRPr="39972417">
        <w:rPr>
          <w:color w:val="202020"/>
        </w:rPr>
        <w:t xml:space="preserve"> injuries have been reported. Coverage standards should require licensure, infection control, informed consent, documentation, and referral for urgent or red-flag findings.</w:t>
      </w:r>
    </w:p>
    <w:p w14:paraId="06217BDB" w14:textId="77777777" w:rsidR="0059586F" w:rsidRDefault="007648D9">
      <w:pPr>
        <w:pStyle w:val="Heading1"/>
      </w:pPr>
      <w:r>
        <w:t>2. Economic and reimbursement case</w:t>
      </w:r>
    </w:p>
    <w:p w14:paraId="4D992F63" w14:textId="77777777" w:rsidR="0059586F" w:rsidRDefault="007648D9">
      <w:r>
        <w:rPr>
          <w:color w:val="202020"/>
        </w:rPr>
        <w:t xml:space="preserve">The supportable economic claim is cost-effectiveness and total-episode value—not guaranteed savings. Trial-based economic evaluations have often found acupuncture cost-effective for chronic pain at conventional willingness-to-pay thresholds, although many studies are international. The 2026 </w:t>
      </w:r>
      <w:proofErr w:type="spellStart"/>
      <w:r>
        <w:rPr>
          <w:color w:val="202020"/>
        </w:rPr>
        <w:t>BackInAction</w:t>
      </w:r>
      <w:proofErr w:type="spellEnd"/>
      <w:r>
        <w:rPr>
          <w:color w:val="202020"/>
        </w:rPr>
        <w:t xml:space="preserve"> economic evaluation found an enhanced course produced a statistically significant 0.037 QALY gain and lower mean </w:t>
      </w:r>
      <w:proofErr w:type="gramStart"/>
      <w:r>
        <w:rPr>
          <w:color w:val="202020"/>
        </w:rPr>
        <w:t>back-pain</w:t>
      </w:r>
      <w:proofErr w:type="gramEnd"/>
      <w:r>
        <w:rPr>
          <w:color w:val="202020"/>
        </w:rPr>
        <w:t xml:space="preserve">-related costs, but cost confidence intervals crossed zero. A standard course </w:t>
      </w:r>
      <w:proofErr w:type="gramStart"/>
      <w:r>
        <w:rPr>
          <w:color w:val="202020"/>
        </w:rPr>
        <w:t>cost</w:t>
      </w:r>
      <w:proofErr w:type="gramEnd"/>
      <w:r>
        <w:rPr>
          <w:color w:val="202020"/>
        </w:rPr>
        <w:t xml:space="preserve"> more, with an estimated $52,897 per QALY.</w:t>
      </w:r>
    </w:p>
    <w:p w14:paraId="08BBD6F7" w14:textId="77777777" w:rsidR="0059586F" w:rsidRDefault="007648D9">
      <w:pPr>
        <w:pStyle w:val="Heading2"/>
      </w:pPr>
      <w:r>
        <w:t>Why adequate reimbursement matters</w:t>
      </w:r>
    </w:p>
    <w:p w14:paraId="293267B9" w14:textId="77777777" w:rsidR="0059586F" w:rsidRDefault="007648D9">
      <w:pPr>
        <w:pStyle w:val="ListBullet"/>
        <w:spacing w:after="80"/>
        <w:ind w:left="547" w:hanging="274"/>
      </w:pPr>
      <w:r>
        <w:rPr>
          <w:color w:val="202020"/>
          <w:sz w:val="20"/>
        </w:rPr>
        <w:t>Rates that do not cover the reasonable cost of delivering and documenting care can make nominal coverage functionally unavailable.</w:t>
      </w:r>
    </w:p>
    <w:p w14:paraId="0DC1DB35" w14:textId="77777777" w:rsidR="0059586F" w:rsidRDefault="007648D9">
      <w:pPr>
        <w:pStyle w:val="ListBullet"/>
        <w:spacing w:after="80"/>
        <w:ind w:left="547" w:hanging="274"/>
      </w:pPr>
      <w:r>
        <w:rPr>
          <w:color w:val="202020"/>
          <w:sz w:val="20"/>
        </w:rPr>
        <w:t>Network adequacy requires enough qualified practitioners, reasonable travel and appointment availability, and credentialing processes suited to the profession.</w:t>
      </w:r>
    </w:p>
    <w:p w14:paraId="6103402B" w14:textId="77777777" w:rsidR="0059586F" w:rsidRDefault="007648D9">
      <w:pPr>
        <w:pStyle w:val="ListBullet"/>
        <w:spacing w:after="80"/>
        <w:ind w:left="547" w:hanging="274"/>
      </w:pPr>
      <w:r>
        <w:rPr>
          <w:color w:val="202020"/>
          <w:sz w:val="20"/>
        </w:rPr>
        <w:t>Down-coding, bundling, unexplained multiple-procedure reductions, or nontransparent fee cuts should be challenged with contract, claims, cost, access, and comparator data.</w:t>
      </w:r>
    </w:p>
    <w:p w14:paraId="46ED6E9E" w14:textId="2DB3D38F" w:rsidR="0059586F" w:rsidRDefault="39972417" w:rsidP="39972417">
      <w:pPr>
        <w:pStyle w:val="ListBullet"/>
        <w:spacing w:after="80"/>
        <w:ind w:left="547" w:hanging="274"/>
        <w:rPr>
          <w:color w:val="202020"/>
          <w:sz w:val="20"/>
          <w:szCs w:val="20"/>
        </w:rPr>
      </w:pPr>
      <w:r w:rsidRPr="39972417">
        <w:rPr>
          <w:color w:val="202020"/>
          <w:sz w:val="20"/>
          <w:szCs w:val="20"/>
        </w:rPr>
        <w:t>Payment parity arguments must compare genuinely comparable services, responsibilities, time, and overhead; they should not promise identical fees where statutes or contracts differ.</w:t>
      </w:r>
    </w:p>
    <w:p w14:paraId="72C69F25" w14:textId="759A0455" w:rsidR="0059586F" w:rsidRDefault="39972417">
      <w:pPr>
        <w:pStyle w:val="Heading1"/>
      </w:pPr>
      <w:r>
        <w:t xml:space="preserve">3. General </w:t>
      </w:r>
      <w:proofErr w:type="gramStart"/>
      <w:r>
        <w:t>health-insurance</w:t>
      </w:r>
      <w:proofErr w:type="gramEnd"/>
      <w:r>
        <w:t xml:space="preserve"> strategy</w:t>
      </w:r>
    </w:p>
    <w:p w14:paraId="48D441FB" w14:textId="77777777" w:rsidR="0059586F" w:rsidRDefault="007648D9">
      <w:r>
        <w:rPr>
          <w:color w:val="202020"/>
        </w:rPr>
        <w:t>Commercial coverage is shaped by plan language, state benefit and provider laws, federal requirements, network contracts, medical policies, and utilization-review criteria. State mandates generally do not reach self-funded ERISA plans, and essential-health-benefit benchmarks vary by state. Advocacy should identify the legal authority and market segment before asserting that coverage is required.</w:t>
      </w:r>
    </w:p>
    <w:p w14:paraId="11F4179F" w14:textId="77777777" w:rsidR="0059586F" w:rsidRDefault="007648D9">
      <w:pPr>
        <w:pStyle w:val="Heading2"/>
      </w:pPr>
      <w:r>
        <w:t>Carrier requests</w:t>
      </w:r>
    </w:p>
    <w:p w14:paraId="5C3AF5A4" w14:textId="77777777" w:rsidR="0059586F" w:rsidRDefault="007648D9">
      <w:pPr>
        <w:pStyle w:val="ListBullet"/>
        <w:spacing w:after="80"/>
        <w:ind w:left="547" w:hanging="274"/>
      </w:pPr>
      <w:r>
        <w:rPr>
          <w:color w:val="202020"/>
          <w:sz w:val="20"/>
        </w:rPr>
        <w:t>Publish the diagnoses, evidence sources, visit rules, coding edits, credentialing criteria, fee schedules, and appeal procedures governing acupuncture.</w:t>
      </w:r>
    </w:p>
    <w:p w14:paraId="5CEE8E56" w14:textId="77777777" w:rsidR="0059586F" w:rsidRDefault="007648D9">
      <w:pPr>
        <w:pStyle w:val="ListBullet"/>
        <w:spacing w:after="80"/>
        <w:ind w:left="547" w:hanging="274"/>
      </w:pPr>
      <w:r>
        <w:rPr>
          <w:color w:val="202020"/>
          <w:sz w:val="20"/>
        </w:rPr>
        <w:t>Remove blanket exclusions that fail to distinguish evidence-supported acupuncture from unrelated services.</w:t>
      </w:r>
    </w:p>
    <w:p w14:paraId="46D75973" w14:textId="77777777" w:rsidR="0059586F" w:rsidRDefault="007648D9">
      <w:pPr>
        <w:pStyle w:val="ListBullet"/>
        <w:spacing w:after="80"/>
        <w:ind w:left="547" w:hanging="274"/>
      </w:pPr>
      <w:r>
        <w:rPr>
          <w:color w:val="202020"/>
          <w:sz w:val="20"/>
        </w:rPr>
        <w:t>Recognize licensed acupuncturists as direct participating providers where lawful and clinically appropriate.</w:t>
      </w:r>
    </w:p>
    <w:p w14:paraId="4E8F734F" w14:textId="77777777" w:rsidR="0059586F" w:rsidRDefault="007648D9">
      <w:pPr>
        <w:pStyle w:val="ListBullet"/>
        <w:spacing w:after="80"/>
        <w:ind w:left="547" w:hanging="274"/>
      </w:pPr>
      <w:r>
        <w:rPr>
          <w:color w:val="202020"/>
          <w:sz w:val="20"/>
        </w:rPr>
        <w:t>Apply comparable medical-necessity and utilization-review standards to all conservative modalities.</w:t>
      </w:r>
    </w:p>
    <w:p w14:paraId="70477211" w14:textId="77777777" w:rsidR="0059586F" w:rsidRDefault="007648D9">
      <w:pPr>
        <w:pStyle w:val="ListBullet"/>
        <w:spacing w:after="80"/>
        <w:ind w:left="547" w:hanging="274"/>
      </w:pPr>
      <w:r>
        <w:rPr>
          <w:color w:val="202020"/>
          <w:sz w:val="20"/>
        </w:rPr>
        <w:t xml:space="preserve">Report denial, appeal, overturn, network, utilization, and </w:t>
      </w:r>
      <w:proofErr w:type="gramStart"/>
      <w:r>
        <w:rPr>
          <w:color w:val="202020"/>
          <w:sz w:val="20"/>
        </w:rPr>
        <w:t>reimbursement</w:t>
      </w:r>
      <w:proofErr w:type="gramEnd"/>
      <w:r>
        <w:rPr>
          <w:color w:val="202020"/>
          <w:sz w:val="20"/>
        </w:rPr>
        <w:t xml:space="preserve"> data by provider type and diagnosis.</w:t>
      </w:r>
    </w:p>
    <w:p w14:paraId="7FEFE43E" w14:textId="77777777" w:rsidR="0059586F" w:rsidRDefault="007648D9">
      <w:pPr>
        <w:pStyle w:val="Heading2"/>
      </w:pPr>
      <w:r>
        <w:t>Medicare and Medicaid</w:t>
      </w:r>
    </w:p>
    <w:p w14:paraId="31141848" w14:textId="1E51BBED" w:rsidR="0059586F" w:rsidRDefault="39972417">
      <w:r w:rsidRPr="39972417">
        <w:rPr>
          <w:color w:val="202020"/>
        </w:rPr>
        <w:t xml:space="preserve">Medicare’s chronic-low-back-pain benefit is an important coverage precedent but retains program-specific practitioner, supervision, and billing restrictions. National reform should seek appropriate direct recognition of qualified licensed acupuncturists. Medicaid benefits and payment policies vary by state and managed-care contract; the state association should verify current manuals, fee schedules, provider enrollment, prior authorization, and appeal rules before making a state-law claim.  </w:t>
      </w:r>
    </w:p>
    <w:p w14:paraId="3C714C30" w14:textId="6A5B3328" w:rsidR="0059586F" w:rsidRDefault="39972417">
      <w:pPr>
        <w:pStyle w:val="Heading1"/>
      </w:pPr>
      <w:r>
        <w:t>4. Workers’ compensation, motor-vehicle, and personal-injury claims</w:t>
      </w:r>
    </w:p>
    <w:p w14:paraId="61849DAF" w14:textId="77777777" w:rsidR="0059586F" w:rsidRDefault="007648D9">
      <w:pPr>
        <w:pStyle w:val="Heading2"/>
      </w:pPr>
      <w:r>
        <w:t>Workers’ compensation</w:t>
      </w:r>
    </w:p>
    <w:p w14:paraId="37A23105" w14:textId="77777777" w:rsidR="0059586F" w:rsidRDefault="007648D9">
      <w:r>
        <w:rPr>
          <w:color w:val="202020"/>
        </w:rPr>
        <w:t>For Connecticut, begin with the current workers’ compensation statute, medical-treatment rules or guidelines, practitioner fee schedule, provider eligibility rules, utilization review, and dispute process. The U.S. Department of Labor directory links to the responsible state authority. A defensible request connects the compensable diagnosis to evidence, work limitations, baseline scores, a bounded treatment plan, and measurable return-to-function goals.</w:t>
      </w:r>
    </w:p>
    <w:p w14:paraId="643F5C9D" w14:textId="77777777" w:rsidR="0059586F" w:rsidRDefault="007648D9">
      <w:pPr>
        <w:pStyle w:val="Heading2"/>
      </w:pPr>
      <w:r>
        <w:t>Motor-vehicle and personal injury</w:t>
      </w:r>
    </w:p>
    <w:p w14:paraId="6DD0DE08" w14:textId="30C1A5ED" w:rsidR="0059586F" w:rsidRDefault="39972417">
      <w:r w:rsidRPr="39972417">
        <w:rPr>
          <w:color w:val="202020"/>
        </w:rPr>
        <w:t>Coverage can depend on tort or no-fault law, personal-injury-protection or medical-payments provisions, policy limits, causation, network or utilization rules, liens, assignments, and litigation posture. Do not describe acupuncture as automatically payable in every accident claim. Establish medical necessity, causal relationships, contemporaneous documentation, reasonable charges, objective progress, and coordination with the broader treatment record.</w:t>
      </w:r>
    </w:p>
    <w:p w14:paraId="00E2C16F" w14:textId="77777777" w:rsidR="0059586F" w:rsidRDefault="007648D9">
      <w:pPr>
        <w:pStyle w:val="Heading2"/>
      </w:pPr>
      <w:r>
        <w:t>Model claims record</w:t>
      </w:r>
    </w:p>
    <w:p w14:paraId="162381CA" w14:textId="0161D347" w:rsidR="0059586F" w:rsidRDefault="39972417">
      <w:pPr>
        <w:pStyle w:val="ListBullet"/>
        <w:spacing w:after="80"/>
        <w:ind w:left="547" w:hanging="274"/>
      </w:pPr>
      <w:r w:rsidRPr="39972417">
        <w:rPr>
          <w:color w:val="202020"/>
          <w:sz w:val="20"/>
          <w:szCs w:val="20"/>
        </w:rPr>
        <w:t>Mechanism and date of injury, diagnosis and relevant examination findings.</w:t>
      </w:r>
    </w:p>
    <w:p w14:paraId="6B36DA47" w14:textId="584CE7E8" w:rsidR="0059586F" w:rsidRDefault="39972417">
      <w:pPr>
        <w:pStyle w:val="ListBullet"/>
        <w:spacing w:after="80"/>
        <w:ind w:left="547" w:hanging="274"/>
      </w:pPr>
      <w:r w:rsidRPr="39972417">
        <w:rPr>
          <w:color w:val="202020"/>
          <w:sz w:val="20"/>
          <w:szCs w:val="20"/>
        </w:rPr>
        <w:t>Baseline pain interference, diagnosis-specific disability, daily activity, and work restrictions.</w:t>
      </w:r>
    </w:p>
    <w:p w14:paraId="3260CE77" w14:textId="77777777" w:rsidR="0059586F" w:rsidRDefault="007648D9">
      <w:pPr>
        <w:pStyle w:val="ListBullet"/>
        <w:spacing w:after="80"/>
        <w:ind w:left="547" w:hanging="274"/>
      </w:pPr>
      <w:r>
        <w:rPr>
          <w:color w:val="202020"/>
          <w:sz w:val="20"/>
        </w:rPr>
        <w:t>Prior and concurrent treatment, medications, red flags, and coordination.</w:t>
      </w:r>
    </w:p>
    <w:p w14:paraId="46DD866B" w14:textId="77777777" w:rsidR="0059586F" w:rsidRDefault="007648D9">
      <w:pPr>
        <w:pStyle w:val="ListBullet"/>
        <w:spacing w:after="80"/>
        <w:ind w:left="547" w:hanging="274"/>
      </w:pPr>
      <w:r>
        <w:rPr>
          <w:color w:val="202020"/>
          <w:sz w:val="20"/>
        </w:rPr>
        <w:t>Frequency, expected duration, CPT coding, goals, and reassessment date.</w:t>
      </w:r>
    </w:p>
    <w:p w14:paraId="3B7A92E2" w14:textId="77777777" w:rsidR="0059586F" w:rsidRDefault="39972417" w:rsidP="39972417">
      <w:pPr>
        <w:pStyle w:val="ListBullet"/>
        <w:spacing w:after="80"/>
        <w:ind w:left="547" w:hanging="274"/>
        <w:rPr>
          <w:color w:val="202020"/>
          <w:sz w:val="20"/>
          <w:szCs w:val="20"/>
        </w:rPr>
      </w:pPr>
      <w:r w:rsidRPr="39972417">
        <w:rPr>
          <w:color w:val="202020"/>
          <w:sz w:val="20"/>
          <w:szCs w:val="20"/>
        </w:rPr>
        <w:t>Objective response, functional gains, work/activity status, adverse events, and discharge rationale.</w:t>
      </w:r>
    </w:p>
    <w:p w14:paraId="18DC412D" w14:textId="0F88B8D8" w:rsidR="39972417" w:rsidRDefault="39972417" w:rsidP="39972417">
      <w:pPr>
        <w:pStyle w:val="ListBullet"/>
        <w:numPr>
          <w:ilvl w:val="0"/>
          <w:numId w:val="0"/>
        </w:numPr>
        <w:spacing w:after="80"/>
        <w:rPr>
          <w:color w:val="202020"/>
          <w:sz w:val="20"/>
          <w:szCs w:val="20"/>
        </w:rPr>
      </w:pPr>
    </w:p>
    <w:p w14:paraId="09AA889B" w14:textId="26ECD8D9" w:rsidR="0059586F" w:rsidRDefault="39972417">
      <w:pPr>
        <w:pStyle w:val="Heading1"/>
      </w:pPr>
      <w:r>
        <w:t>5. Connecticut (or other state) association action plan</w:t>
      </w:r>
    </w:p>
    <w:p w14:paraId="6E475508" w14:textId="77777777" w:rsidR="0059586F" w:rsidRDefault="007648D9">
      <w:pPr>
        <w:pStyle w:val="Heading2"/>
      </w:pPr>
      <w:r>
        <w:t>1. Verify</w:t>
      </w:r>
    </w:p>
    <w:p w14:paraId="419612FC" w14:textId="77777777" w:rsidR="0059586F" w:rsidRDefault="007648D9">
      <w:r>
        <w:rPr>
          <w:color w:val="202020"/>
        </w:rPr>
        <w:t>Confirm current acupuncture licensure/scope rules, workers’ compensation rules, EHB benchmark, Medicaid manuals, insurance mandates, motor-vehicle statutes, fee schedules, and controlling decisions.</w:t>
      </w:r>
    </w:p>
    <w:p w14:paraId="356329C9" w14:textId="77777777" w:rsidR="0059586F" w:rsidRDefault="007648D9">
      <w:pPr>
        <w:pStyle w:val="Heading2"/>
      </w:pPr>
      <w:r>
        <w:t>2. Map payers</w:t>
      </w:r>
    </w:p>
    <w:p w14:paraId="3846CE80" w14:textId="77777777" w:rsidR="0059586F" w:rsidRDefault="007648D9">
      <w:r>
        <w:rPr>
          <w:color w:val="202020"/>
        </w:rPr>
        <w:t>Identify the largest commercial issuers, Medicaid managed-care organizations, workers’ compensation carriers/administrators, auto insurers, and self-funded employer plans.</w:t>
      </w:r>
    </w:p>
    <w:p w14:paraId="0F6CCD1C" w14:textId="77777777" w:rsidR="0059586F" w:rsidRDefault="007648D9">
      <w:pPr>
        <w:pStyle w:val="Heading2"/>
      </w:pPr>
      <w:r>
        <w:t>3. Collect data</w:t>
      </w:r>
    </w:p>
    <w:p w14:paraId="5C055F05" w14:textId="19D3A075" w:rsidR="0059586F" w:rsidRDefault="39972417">
      <w:r w:rsidRPr="39972417">
        <w:rPr>
          <w:color w:val="202020"/>
        </w:rPr>
        <w:t>Use common fields for charges, allowed amounts, denials, reasons, appeals, visits, diagnoses, function, access, and total episodes. Deidentify patient data and comply with privacy laws.</w:t>
      </w:r>
    </w:p>
    <w:p w14:paraId="551B3754" w14:textId="77777777" w:rsidR="0059586F" w:rsidRDefault="007648D9">
      <w:pPr>
        <w:pStyle w:val="Heading2"/>
      </w:pPr>
      <w:r>
        <w:t>4. Meet</w:t>
      </w:r>
    </w:p>
    <w:p w14:paraId="10267CAB" w14:textId="7AFDF923" w:rsidR="0059586F" w:rsidRDefault="39972417">
      <w:r w:rsidRPr="39972417">
        <w:rPr>
          <w:color w:val="202020"/>
        </w:rPr>
        <w:t>Request payer medical policy and network meetings with a short evidence brief, local access data, and specific policy language.</w:t>
      </w:r>
    </w:p>
    <w:p w14:paraId="2F8955DC" w14:textId="77777777" w:rsidR="0059586F" w:rsidRDefault="007648D9">
      <w:pPr>
        <w:pStyle w:val="Heading2"/>
      </w:pPr>
      <w:r>
        <w:t>5. Escalate</w:t>
      </w:r>
    </w:p>
    <w:p w14:paraId="42AF9311" w14:textId="7A873976" w:rsidR="0059586F" w:rsidRDefault="39972417">
      <w:r w:rsidRPr="39972417">
        <w:rPr>
          <w:color w:val="202020"/>
        </w:rPr>
        <w:t xml:space="preserve">Use internal appeals, external review, insurance-department complaints, workers’ compensation dispute processes, public comment, legislation, or litigation only with case-specific legal advice. </w:t>
      </w:r>
    </w:p>
    <w:p w14:paraId="64A9CB37" w14:textId="77777777" w:rsidR="0059586F" w:rsidRDefault="007648D9">
      <w:pPr>
        <w:pStyle w:val="Heading2"/>
      </w:pPr>
      <w:r>
        <w:t>6. Reassess</w:t>
      </w:r>
    </w:p>
    <w:p w14:paraId="60E5E73A" w14:textId="77777777" w:rsidR="0059586F" w:rsidRDefault="007648D9">
      <w:r>
        <w:rPr>
          <w:color w:val="202020"/>
        </w:rPr>
        <w:t>Publish outcomes, access, and reimbursement trends annually and update the ask as evidence and law change.</w:t>
      </w:r>
    </w:p>
    <w:tbl>
      <w:tblPr>
        <w:tblW w:w="0" w:type="auto"/>
        <w:tblLayout w:type="fixed"/>
        <w:tblLook w:val="04A0" w:firstRow="1" w:lastRow="0" w:firstColumn="1" w:lastColumn="0" w:noHBand="0" w:noVBand="1"/>
      </w:tblPr>
      <w:tblGrid>
        <w:gridCol w:w="9360"/>
      </w:tblGrid>
      <w:tr w:rsidR="0059586F" w14:paraId="50CDD7D0" w14:textId="77777777" w:rsidTr="39972417">
        <w:tc>
          <w:tcPr>
            <w:tcW w:w="9360" w:type="dxa"/>
            <w:shd w:val="clear" w:color="auto" w:fill="EAF1F7"/>
          </w:tcPr>
          <w:p w14:paraId="6EE48BA3" w14:textId="350161C6" w:rsidR="0059586F" w:rsidRDefault="39972417">
            <w:r w:rsidRPr="39972417">
              <w:rPr>
                <w:b/>
                <w:bCs/>
                <w:color w:val="163A5F"/>
                <w:sz w:val="18"/>
                <w:szCs w:val="18"/>
              </w:rPr>
              <w:t>OFFICIAL STARTING POINTS Workers</w:t>
            </w:r>
            <w:r w:rsidRPr="39972417">
              <w:rPr>
                <w:color w:val="202020"/>
                <w:sz w:val="20"/>
                <w:szCs w:val="20"/>
              </w:rPr>
              <w:t>’ compensation: U.S. DOL state directory. Insurance regulation: NAIC state department directory. Medicaid: Medicaid.gov state contacts. EHB: CMS state benchmark files. These national official directories reduce the risk of circulating stale agency links for Connecticut.</w:t>
            </w:r>
          </w:p>
        </w:tc>
      </w:tr>
    </w:tbl>
    <w:p w14:paraId="201D49EE" w14:textId="6E149D90" w:rsidR="0059586F" w:rsidRDefault="39972417" w:rsidP="39972417">
      <w:pPr>
        <w:pStyle w:val="Heading1"/>
        <w:spacing w:after="20"/>
      </w:pPr>
      <w:r>
        <w:t>6. Model policy language</w:t>
      </w:r>
    </w:p>
    <w:p w14:paraId="1EAA0495" w14:textId="77777777" w:rsidR="0059586F" w:rsidRDefault="007648D9">
      <w:r>
        <w:rPr>
          <w:i/>
          <w:color w:val="5B6573"/>
        </w:rPr>
        <w:t>A payer or public program should consider adopting the following language:</w:t>
      </w:r>
    </w:p>
    <w:tbl>
      <w:tblPr>
        <w:tblW w:w="0" w:type="auto"/>
        <w:tblLayout w:type="fixed"/>
        <w:tblLook w:val="04A0" w:firstRow="1" w:lastRow="0" w:firstColumn="1" w:lastColumn="0" w:noHBand="0" w:noVBand="1"/>
      </w:tblPr>
      <w:tblGrid>
        <w:gridCol w:w="9360"/>
      </w:tblGrid>
      <w:tr w:rsidR="0059586F" w14:paraId="4052A438" w14:textId="77777777" w:rsidTr="39972417">
        <w:tc>
          <w:tcPr>
            <w:tcW w:w="9360" w:type="dxa"/>
            <w:shd w:val="clear" w:color="auto" w:fill="EAF1F7"/>
          </w:tcPr>
          <w:p w14:paraId="7B7E88CA" w14:textId="46E51B92" w:rsidR="0059586F" w:rsidRDefault="39972417">
            <w:r w:rsidRPr="39972417">
              <w:rPr>
                <w:b/>
                <w:bCs/>
                <w:color w:val="163A5F"/>
                <w:sz w:val="18"/>
                <w:szCs w:val="18"/>
              </w:rPr>
              <w:t>COVERAGE Medically</w:t>
            </w:r>
            <w:r w:rsidRPr="39972417">
              <w:rPr>
                <w:color w:val="202020"/>
                <w:sz w:val="20"/>
                <w:szCs w:val="20"/>
              </w:rPr>
              <w:t xml:space="preserve"> necessary acupuncture furnished by a qualified practitioner acting within applicable law is covered for diagnoses supported by the plan’s current evidence-based criteria. Acupuncture may be authorized as an early conservative option and shall not be subject to a blanket requirement that the patient first fail opioids, prolonged medication therapy, injections, or surgery.</w:t>
            </w:r>
          </w:p>
        </w:tc>
      </w:tr>
    </w:tbl>
    <w:p w14:paraId="3D72D57B" w14:textId="77777777" w:rsidR="0059586F" w:rsidRDefault="0059586F">
      <w:pPr>
        <w:spacing w:after="20"/>
      </w:pPr>
    </w:p>
    <w:tbl>
      <w:tblPr>
        <w:tblW w:w="0" w:type="auto"/>
        <w:tblLayout w:type="fixed"/>
        <w:tblLook w:val="04A0" w:firstRow="1" w:lastRow="0" w:firstColumn="1" w:lastColumn="0" w:noHBand="0" w:noVBand="1"/>
      </w:tblPr>
      <w:tblGrid>
        <w:gridCol w:w="9360"/>
      </w:tblGrid>
      <w:tr w:rsidR="0059586F" w14:paraId="0A5379F8" w14:textId="77777777" w:rsidTr="39972417">
        <w:tc>
          <w:tcPr>
            <w:tcW w:w="9360" w:type="dxa"/>
            <w:shd w:val="clear" w:color="auto" w:fill="EAF1F7"/>
          </w:tcPr>
          <w:p w14:paraId="7974A10D" w14:textId="16217ED2" w:rsidR="0059586F" w:rsidRDefault="39972417">
            <w:r w:rsidRPr="39972417">
              <w:rPr>
                <w:b/>
                <w:bCs/>
                <w:color w:val="163A5F"/>
                <w:sz w:val="18"/>
                <w:szCs w:val="18"/>
              </w:rPr>
              <w:t>UTILIZATION An</w:t>
            </w:r>
            <w:r w:rsidRPr="39972417">
              <w:rPr>
                <w:color w:val="202020"/>
                <w:sz w:val="20"/>
                <w:szCs w:val="20"/>
              </w:rPr>
              <w:t xml:space="preserve"> initial course will generally include 6–12 visits over 6–12 weeks, with variation permitted when clinically justified. Continued treatment requires documented clinically meaningful functional improvement, ongoing necessity, and further attainable goals. Treatment should be modified or discontinued for nonresponse, regression, plateau, or safety concerns.</w:t>
            </w:r>
          </w:p>
        </w:tc>
      </w:tr>
    </w:tbl>
    <w:p w14:paraId="3F7AD784" w14:textId="77777777" w:rsidR="0059586F" w:rsidRDefault="0059586F">
      <w:pPr>
        <w:spacing w:after="20"/>
      </w:pPr>
    </w:p>
    <w:tbl>
      <w:tblPr>
        <w:tblW w:w="0" w:type="auto"/>
        <w:tblLayout w:type="fixed"/>
        <w:tblLook w:val="04A0" w:firstRow="1" w:lastRow="0" w:firstColumn="1" w:lastColumn="0" w:noHBand="0" w:noVBand="1"/>
      </w:tblPr>
      <w:tblGrid>
        <w:gridCol w:w="9360"/>
      </w:tblGrid>
      <w:tr w:rsidR="0059586F" w14:paraId="3DCEF84A" w14:textId="77777777" w:rsidTr="39972417">
        <w:tc>
          <w:tcPr>
            <w:tcW w:w="9360" w:type="dxa"/>
            <w:shd w:val="clear" w:color="auto" w:fill="EAF1F7"/>
          </w:tcPr>
          <w:p w14:paraId="66AAB42C" w14:textId="0DBB3E8B" w:rsidR="0059586F" w:rsidRDefault="39972417">
            <w:r w:rsidRPr="39972417">
              <w:rPr>
                <w:b/>
                <w:bCs/>
                <w:color w:val="163A5F"/>
                <w:sz w:val="18"/>
                <w:szCs w:val="18"/>
              </w:rPr>
              <w:t>TRANSPARENCY The</w:t>
            </w:r>
            <w:r w:rsidRPr="39972417">
              <w:rPr>
                <w:color w:val="202020"/>
                <w:sz w:val="20"/>
                <w:szCs w:val="20"/>
              </w:rPr>
              <w:t xml:space="preserve"> payer will publish or provide upon request its clinical criteria, evidence sources, coding rules, credentialing requirements, fee methodology, authorization procedures, denial rationale, and appeal rights. Decisions will identify the patient-specific basis and review the clinician’s relevant qualifications.</w:t>
            </w:r>
          </w:p>
        </w:tc>
      </w:tr>
    </w:tbl>
    <w:p w14:paraId="481815D6" w14:textId="77777777" w:rsidR="0059586F" w:rsidRDefault="0059586F">
      <w:pPr>
        <w:spacing w:after="20"/>
      </w:pPr>
    </w:p>
    <w:p w14:paraId="5F0A7C3F" w14:textId="77777777" w:rsidR="0059586F" w:rsidRDefault="007648D9">
      <w:pPr>
        <w:pStyle w:val="Heading2"/>
      </w:pPr>
      <w:r>
        <w:t>Evidence versus advocacy</w:t>
      </w:r>
    </w:p>
    <w:p w14:paraId="304D5DFF" w14:textId="77777777" w:rsidR="0059586F" w:rsidRDefault="39972417">
      <w:r w:rsidRPr="39972417">
        <w:rPr>
          <w:color w:val="202020"/>
        </w:rPr>
        <w:t>The clinical evidence summarized in this packet supports a bounded trial for selected conditions. The requests for direct provider recognition, sustainable fees, transparency, and reform are policy positions. State associations should preserve that distinction; credibility is an advocacy asset.</w:t>
      </w:r>
    </w:p>
    <w:p w14:paraId="7B09164E" w14:textId="77777777" w:rsidR="0059586F" w:rsidRDefault="007648D9">
      <w:pPr>
        <w:pStyle w:val="Heading1"/>
      </w:pPr>
      <w:r>
        <w:t>7. Practitioner and association checklist</w:t>
      </w:r>
    </w:p>
    <w:p w14:paraId="26A9A0E7" w14:textId="77777777" w:rsidR="0059586F" w:rsidRDefault="007648D9">
      <w:pPr>
        <w:pStyle w:val="ListBullet"/>
        <w:spacing w:after="80"/>
        <w:ind w:left="547" w:hanging="274"/>
      </w:pPr>
      <w:r>
        <w:rPr>
          <w:color w:val="202020"/>
          <w:sz w:val="20"/>
        </w:rPr>
        <w:t>Replace the bracketed association/practitioner name on the cover and add local contact information or logo.</w:t>
      </w:r>
    </w:p>
    <w:p w14:paraId="548E8D6A" w14:textId="77777777" w:rsidR="0059586F" w:rsidRDefault="007648D9">
      <w:pPr>
        <w:pStyle w:val="ListBullet"/>
        <w:spacing w:after="80"/>
        <w:ind w:left="547" w:hanging="274"/>
      </w:pPr>
      <w:r>
        <w:rPr>
          <w:color w:val="202020"/>
          <w:sz w:val="20"/>
        </w:rPr>
        <w:t xml:space="preserve">Review all </w:t>
      </w:r>
      <w:proofErr w:type="gramStart"/>
      <w:r>
        <w:rPr>
          <w:color w:val="202020"/>
          <w:sz w:val="20"/>
        </w:rPr>
        <w:t>state-law</w:t>
      </w:r>
      <w:proofErr w:type="gramEnd"/>
      <w:r>
        <w:rPr>
          <w:color w:val="202020"/>
          <w:sz w:val="20"/>
        </w:rPr>
        <w:t xml:space="preserve"> and payer-specific statements with qualified local counsel or regulatory experts before formal filing.</w:t>
      </w:r>
    </w:p>
    <w:p w14:paraId="7BD410FE" w14:textId="77777777" w:rsidR="0059586F" w:rsidRDefault="007648D9">
      <w:pPr>
        <w:pStyle w:val="ListBullet"/>
        <w:spacing w:after="80"/>
        <w:ind w:left="547" w:hanging="274"/>
      </w:pPr>
      <w:r>
        <w:rPr>
          <w:color w:val="202020"/>
          <w:sz w:val="20"/>
        </w:rPr>
        <w:t>Add current state licensure, scope, fee schedule, Medicaid, EHB, network, and motor-vehicle citations where a specific legal claim is made.</w:t>
      </w:r>
    </w:p>
    <w:p w14:paraId="119CD949" w14:textId="77777777" w:rsidR="0059586F" w:rsidRDefault="007648D9">
      <w:pPr>
        <w:pStyle w:val="ListBullet"/>
        <w:spacing w:after="80"/>
        <w:ind w:left="547" w:hanging="274"/>
      </w:pPr>
      <w:r>
        <w:rPr>
          <w:color w:val="202020"/>
          <w:sz w:val="20"/>
        </w:rPr>
        <w:t>Use objective functional measures and patient-specific goals in every authorization and appeal request.</w:t>
      </w:r>
    </w:p>
    <w:p w14:paraId="4948867B" w14:textId="77777777" w:rsidR="0059586F" w:rsidRDefault="007648D9">
      <w:pPr>
        <w:pStyle w:val="ListBullet"/>
        <w:spacing w:after="80"/>
        <w:ind w:left="547" w:hanging="274"/>
      </w:pPr>
      <w:r>
        <w:rPr>
          <w:color w:val="202020"/>
          <w:sz w:val="20"/>
        </w:rPr>
        <w:t>Avoid unsupported promises about healing time, savings, surgery avoidance, opioid outcomes, or return to work.</w:t>
      </w:r>
    </w:p>
    <w:p w14:paraId="7E5C0907" w14:textId="77777777" w:rsidR="0059586F" w:rsidRDefault="007648D9">
      <w:pPr>
        <w:pStyle w:val="ListBullet"/>
        <w:spacing w:after="80"/>
        <w:ind w:left="547" w:hanging="274"/>
      </w:pPr>
      <w:r>
        <w:rPr>
          <w:color w:val="202020"/>
          <w:sz w:val="20"/>
        </w:rPr>
        <w:t>Track both clinical outcomes and reimbursement/access barriers using consistent definitions.</w:t>
      </w:r>
    </w:p>
    <w:p w14:paraId="2BD34469" w14:textId="77777777" w:rsidR="0059586F" w:rsidRDefault="007648D9">
      <w:pPr>
        <w:pStyle w:val="ListBullet"/>
        <w:spacing w:after="80"/>
        <w:ind w:left="547" w:hanging="274"/>
      </w:pPr>
      <w:r>
        <w:rPr>
          <w:color w:val="202020"/>
          <w:sz w:val="20"/>
        </w:rPr>
        <w:t>Seek patient consent before using identifiable cases; prefer deidentified aggregate evidence.</w:t>
      </w:r>
    </w:p>
    <w:p w14:paraId="62F43527" w14:textId="77777777" w:rsidR="0059586F" w:rsidRDefault="007648D9">
      <w:pPr>
        <w:pStyle w:val="ListBullet"/>
        <w:spacing w:after="80"/>
        <w:ind w:left="547" w:hanging="274"/>
      </w:pPr>
      <w:r>
        <w:rPr>
          <w:color w:val="202020"/>
          <w:sz w:val="20"/>
        </w:rPr>
        <w:t>Date every version and schedule at least annual evidence and law review.</w:t>
      </w:r>
    </w:p>
    <w:p w14:paraId="4DA7FE2C" w14:textId="77777777" w:rsidR="0059586F" w:rsidRDefault="007648D9">
      <w:pPr>
        <w:pStyle w:val="Heading2"/>
      </w:pPr>
      <w:r>
        <w:t>Attribution and reuse</w:t>
      </w:r>
    </w:p>
    <w:p w14:paraId="40CEB221" w14:textId="77777777" w:rsidR="0059586F" w:rsidRDefault="007648D9">
      <w:r>
        <w:rPr>
          <w:color w:val="202020"/>
        </w:rPr>
        <w:t xml:space="preserve">This packet is intentionally </w:t>
      </w:r>
      <w:proofErr w:type="spellStart"/>
      <w:r>
        <w:rPr>
          <w:color w:val="202020"/>
        </w:rPr>
        <w:t>rebrandable</w:t>
      </w:r>
      <w:proofErr w:type="spellEnd"/>
      <w:r>
        <w:rPr>
          <w:color w:val="202020"/>
        </w:rPr>
        <w:t>. A state association or licensed practitioner may place its own identity on the cover, edit the state strategy, and distribute the document. The source acknowledgment below should remain in redistributed versions.</w:t>
      </w:r>
    </w:p>
    <w:tbl>
      <w:tblPr>
        <w:tblW w:w="0" w:type="auto"/>
        <w:tblLayout w:type="fixed"/>
        <w:tblLook w:val="04A0" w:firstRow="1" w:lastRow="0" w:firstColumn="1" w:lastColumn="0" w:noHBand="0" w:noVBand="1"/>
      </w:tblPr>
      <w:tblGrid>
        <w:gridCol w:w="9360"/>
      </w:tblGrid>
      <w:tr w:rsidR="0059586F" w14:paraId="5E5F38DA" w14:textId="77777777" w:rsidTr="39972417">
        <w:tc>
          <w:tcPr>
            <w:tcW w:w="9360" w:type="dxa"/>
            <w:shd w:val="clear" w:color="auto" w:fill="E7F1EC"/>
          </w:tcPr>
          <w:p w14:paraId="54947527" w14:textId="1EE4AA33" w:rsidR="0059586F" w:rsidRDefault="39972417">
            <w:r w:rsidRPr="39972417">
              <w:rPr>
                <w:b/>
                <w:bCs/>
                <w:color w:val="163A5F"/>
                <w:sz w:val="18"/>
                <w:szCs w:val="18"/>
              </w:rPr>
              <w:t>SOURCE ACKNOWLEDGMENT This</w:t>
            </w:r>
            <w:r w:rsidRPr="39972417">
              <w:rPr>
                <w:color w:val="202020"/>
                <w:sz w:val="20"/>
                <w:szCs w:val="20"/>
              </w:rPr>
              <w:t xml:space="preserve"> advocacy resource was developed from research and policy work initiated by NGAOM. It is offered for free to all licensed acupuncturists and professional associations for adaptation and use in advancing fair access, coverage, and reimbursement for licensed acupuncture care.</w:t>
            </w:r>
          </w:p>
        </w:tc>
      </w:tr>
    </w:tbl>
    <w:p w14:paraId="0614DB51" w14:textId="77777777" w:rsidR="0059586F" w:rsidRDefault="0059586F">
      <w:pPr>
        <w:spacing w:after="20"/>
      </w:pPr>
    </w:p>
    <w:p w14:paraId="31C93A75" w14:textId="77777777" w:rsidR="0059586F" w:rsidRDefault="007648D9">
      <w:pPr>
        <w:pStyle w:val="Heading1"/>
      </w:pPr>
      <w:r>
        <w:t>References and verification resources</w:t>
      </w:r>
    </w:p>
    <w:p w14:paraId="0FD4601E" w14:textId="77777777" w:rsidR="0059586F" w:rsidRDefault="007648D9">
      <w:pPr>
        <w:spacing w:after="80"/>
      </w:pPr>
      <w:r>
        <w:rPr>
          <w:color w:val="202020"/>
          <w:sz w:val="17"/>
        </w:rPr>
        <w:t>Centers for Medicare &amp; Medicaid Services. National Coverage Determination 30.3.3: Acupuncture for Chronic Low Back Pain. https://www.cms.gov/medicare-coverage-database/view/ncd.aspx?NCDId=373</w:t>
      </w:r>
    </w:p>
    <w:p w14:paraId="6178088F" w14:textId="77777777" w:rsidR="0059586F" w:rsidRDefault="007648D9">
      <w:pPr>
        <w:spacing w:after="80"/>
      </w:pPr>
      <w:r>
        <w:rPr>
          <w:color w:val="202020"/>
          <w:sz w:val="17"/>
        </w:rPr>
        <w:t>CMS. Information on Essential Health Benefits Benchmark Plans, including current documents for every state. https://www.cms.gov/marketplace/resources/data/essential-health-benefits</w:t>
      </w:r>
    </w:p>
    <w:p w14:paraId="54ED2F7D" w14:textId="77777777" w:rsidR="0059586F" w:rsidRDefault="007648D9">
      <w:pPr>
        <w:spacing w:after="80"/>
      </w:pPr>
      <w:r>
        <w:rPr>
          <w:color w:val="202020"/>
          <w:sz w:val="17"/>
        </w:rPr>
        <w:t>U.S. Department of Labor. State Workers’ Compensation Officials and agency links. https://www.dol.gov/agencies/owcp/wc</w:t>
      </w:r>
    </w:p>
    <w:p w14:paraId="2A43AA93" w14:textId="77777777" w:rsidR="0059586F" w:rsidRDefault="007648D9">
      <w:pPr>
        <w:spacing w:after="80"/>
      </w:pPr>
      <w:r>
        <w:rPr>
          <w:color w:val="202020"/>
          <w:sz w:val="17"/>
        </w:rPr>
        <w:t>National Association of Insurance Commissioners. State Insurance Departments. https://content.naic.org/state-insurance-departments</w:t>
      </w:r>
    </w:p>
    <w:p w14:paraId="00F38CEB" w14:textId="77777777" w:rsidR="0059586F" w:rsidRDefault="007648D9">
      <w:pPr>
        <w:spacing w:after="80"/>
      </w:pPr>
      <w:r>
        <w:rPr>
          <w:color w:val="202020"/>
          <w:sz w:val="17"/>
        </w:rPr>
        <w:t>Medicaid.gov. State Medicaid and CHIP contacts and state overviews. https://www.medicaid.gov/about-us/where-can-people-get-help-medicaid-chip</w:t>
      </w:r>
    </w:p>
    <w:p w14:paraId="1A71B9BD" w14:textId="77777777" w:rsidR="0059586F" w:rsidRDefault="007648D9">
      <w:pPr>
        <w:spacing w:after="80"/>
      </w:pPr>
      <w:r>
        <w:rPr>
          <w:color w:val="202020"/>
          <w:sz w:val="17"/>
        </w:rPr>
        <w:t xml:space="preserve">Qaseem A, et al. ACP guideline: Noninvasive Treatments for Acute, Subacute, and Chronic Low Back Pain. Ann Intern Med. </w:t>
      </w:r>
      <w:proofErr w:type="gramStart"/>
      <w:r>
        <w:rPr>
          <w:color w:val="202020"/>
          <w:sz w:val="17"/>
        </w:rPr>
        <w:t>2017;166:514</w:t>
      </w:r>
      <w:proofErr w:type="gramEnd"/>
      <w:r>
        <w:rPr>
          <w:color w:val="202020"/>
          <w:sz w:val="17"/>
        </w:rPr>
        <w:t>–530. doi:10.7326/M16-2367.</w:t>
      </w:r>
    </w:p>
    <w:p w14:paraId="17EF3B24" w14:textId="77777777" w:rsidR="0059586F" w:rsidRDefault="007648D9">
      <w:pPr>
        <w:spacing w:after="80"/>
      </w:pPr>
      <w:r>
        <w:rPr>
          <w:color w:val="202020"/>
          <w:sz w:val="17"/>
        </w:rPr>
        <w:t>Dowell D, et al. CDC Clinical Practice Guideline for Prescribing Opioids for Pain—United States, 2022. MMWR. 2022;71(3):1–95.</w:t>
      </w:r>
    </w:p>
    <w:p w14:paraId="4FBC8AE3" w14:textId="77777777" w:rsidR="0059586F" w:rsidRDefault="007648D9">
      <w:pPr>
        <w:spacing w:after="80"/>
      </w:pPr>
      <w:r>
        <w:rPr>
          <w:color w:val="202020"/>
          <w:sz w:val="17"/>
        </w:rPr>
        <w:t>Skelly AC, et al. Noninvasive Nonpharmacological Treatment for Chronic Pain: AHRQ Systematic Review Update. 2020.</w:t>
      </w:r>
    </w:p>
    <w:p w14:paraId="0F290E82" w14:textId="77777777" w:rsidR="0059586F" w:rsidRDefault="007648D9">
      <w:pPr>
        <w:spacing w:after="80"/>
      </w:pPr>
      <w:r>
        <w:rPr>
          <w:color w:val="202020"/>
          <w:sz w:val="17"/>
        </w:rPr>
        <w:t>Mu J, et al. Acupuncture for chronic nonspecific low back pain. Cochrane Database Syst Rev. 2020;12:CD013814.</w:t>
      </w:r>
    </w:p>
    <w:p w14:paraId="351E398A" w14:textId="77777777" w:rsidR="0059586F" w:rsidRDefault="007648D9">
      <w:pPr>
        <w:spacing w:after="80"/>
      </w:pPr>
      <w:r>
        <w:rPr>
          <w:color w:val="202020"/>
          <w:sz w:val="17"/>
        </w:rPr>
        <w:t>VA/DoD Clinical Practice Guideline for the Diagnosis and Treatment of Low Back Pain. 2022.</w:t>
      </w:r>
    </w:p>
    <w:p w14:paraId="63923255" w14:textId="77777777" w:rsidR="0059586F" w:rsidRDefault="007648D9">
      <w:pPr>
        <w:spacing w:after="80"/>
      </w:pPr>
      <w:r>
        <w:rPr>
          <w:color w:val="202020"/>
          <w:sz w:val="17"/>
        </w:rPr>
        <w:t xml:space="preserve">Sherman KJ, et al. Acupuncture for Chronic Low Back Pain in Older Adults: A Randomized Clinical Trial. JAMA </w:t>
      </w:r>
      <w:proofErr w:type="spellStart"/>
      <w:r>
        <w:rPr>
          <w:color w:val="202020"/>
          <w:sz w:val="17"/>
        </w:rPr>
        <w:t>Netw</w:t>
      </w:r>
      <w:proofErr w:type="spellEnd"/>
      <w:r>
        <w:rPr>
          <w:color w:val="202020"/>
          <w:sz w:val="17"/>
        </w:rPr>
        <w:t xml:space="preserve"> Open. 2025;8(9</w:t>
      </w:r>
      <w:proofErr w:type="gramStart"/>
      <w:r>
        <w:rPr>
          <w:color w:val="202020"/>
          <w:sz w:val="17"/>
        </w:rPr>
        <w:t>):e</w:t>
      </w:r>
      <w:proofErr w:type="gramEnd"/>
      <w:r>
        <w:rPr>
          <w:color w:val="202020"/>
          <w:sz w:val="17"/>
        </w:rPr>
        <w:t>2531348.</w:t>
      </w:r>
    </w:p>
    <w:p w14:paraId="7AA1C07D" w14:textId="77777777" w:rsidR="0059586F" w:rsidRDefault="007648D9">
      <w:pPr>
        <w:spacing w:after="80"/>
      </w:pPr>
      <w:r>
        <w:rPr>
          <w:color w:val="202020"/>
          <w:sz w:val="17"/>
        </w:rPr>
        <w:t xml:space="preserve">Herman PM, et al. Cost-Effectiveness of Acupuncture Needling for Older Adults </w:t>
      </w:r>
      <w:proofErr w:type="gramStart"/>
      <w:r>
        <w:rPr>
          <w:color w:val="202020"/>
          <w:sz w:val="17"/>
        </w:rPr>
        <w:t>With</w:t>
      </w:r>
      <w:proofErr w:type="gramEnd"/>
      <w:r>
        <w:rPr>
          <w:color w:val="202020"/>
          <w:sz w:val="17"/>
        </w:rPr>
        <w:t xml:space="preserve"> Chronic Low Back Pain. Spine. 2026;51(3</w:t>
      </w:r>
      <w:proofErr w:type="gramStart"/>
      <w:r>
        <w:rPr>
          <w:color w:val="202020"/>
          <w:sz w:val="17"/>
        </w:rPr>
        <w:t>):E</w:t>
      </w:r>
      <w:proofErr w:type="gramEnd"/>
      <w:r>
        <w:rPr>
          <w:color w:val="202020"/>
          <w:sz w:val="17"/>
        </w:rPr>
        <w:t>65–E75.</w:t>
      </w:r>
    </w:p>
    <w:p w14:paraId="2A6284E8" w14:textId="77777777" w:rsidR="0059586F" w:rsidRDefault="007648D9">
      <w:pPr>
        <w:spacing w:after="80"/>
      </w:pPr>
      <w:r>
        <w:rPr>
          <w:color w:val="202020"/>
          <w:sz w:val="17"/>
        </w:rPr>
        <w:t>Vickers AJ, et al. Acupuncture for Chronic Pain: Update of an Individual Patient Data Meta-Analysis. J Pain. 2018;19(5):455–474.</w:t>
      </w:r>
    </w:p>
    <w:p w14:paraId="209177BF" w14:textId="77777777" w:rsidR="0059586F" w:rsidRDefault="007648D9">
      <w:pPr>
        <w:spacing w:after="80"/>
      </w:pPr>
      <w:r>
        <w:rPr>
          <w:color w:val="202020"/>
          <w:sz w:val="17"/>
        </w:rPr>
        <w:t>National Center for Complementary and Integrative Health. Acupuncture: Effectiveness and Safety. https://www.nccih.nih.gov/health/acupuncture-effectiveness-and-safety</w:t>
      </w:r>
    </w:p>
    <w:p w14:paraId="07ABAE76" w14:textId="77777777" w:rsidR="0059586F" w:rsidRDefault="007648D9">
      <w:pPr>
        <w:spacing w:after="80"/>
      </w:pPr>
      <w:r>
        <w:rPr>
          <w:color w:val="202020"/>
          <w:sz w:val="17"/>
        </w:rPr>
        <w:t xml:space="preserve">Ambrósio EMM, et al. Costs and consequences of acupuncture as a treatment for chronic pain: systematic review. Complement Ther Med. </w:t>
      </w:r>
      <w:proofErr w:type="gramStart"/>
      <w:r>
        <w:rPr>
          <w:color w:val="202020"/>
          <w:sz w:val="17"/>
        </w:rPr>
        <w:t>2012;20:364</w:t>
      </w:r>
      <w:proofErr w:type="gramEnd"/>
      <w:r>
        <w:rPr>
          <w:color w:val="202020"/>
          <w:sz w:val="17"/>
        </w:rPr>
        <w:t>–374.</w:t>
      </w:r>
    </w:p>
    <w:p w14:paraId="605090B3" w14:textId="77777777" w:rsidR="0059586F" w:rsidRDefault="007648D9">
      <w:pPr>
        <w:pStyle w:val="Heading1"/>
      </w:pPr>
      <w:r>
        <w:t>Legal and evidence note</w:t>
      </w:r>
    </w:p>
    <w:p w14:paraId="0DCC06D6" w14:textId="77777777" w:rsidR="0059586F" w:rsidRDefault="007648D9">
      <w:r>
        <w:rPr>
          <w:i/>
          <w:color w:val="5B6573"/>
          <w:sz w:val="18"/>
        </w:rPr>
        <w:t>This is an advocacy and policy resource, not medical advice, a utilization-review determination, or a legal opinion. Coverage depends on governing law, contract language, diagnosis, documentation, and individual circumstances. State laws, agency guidance, benefit documents, and fee schedules change and should be checked before use.</w:t>
      </w:r>
    </w:p>
    <w:sectPr w:rsidR="0059586F" w:rsidSect="0003461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204FE" w14:textId="77777777" w:rsidR="00AE7E7E" w:rsidRDefault="00AE7E7E">
      <w:pPr>
        <w:spacing w:after="0" w:line="240" w:lineRule="auto"/>
      </w:pPr>
      <w:r>
        <w:separator/>
      </w:r>
    </w:p>
  </w:endnote>
  <w:endnote w:type="continuationSeparator" w:id="0">
    <w:p w14:paraId="72EB5C90" w14:textId="77777777" w:rsidR="00AE7E7E" w:rsidRDefault="00AE7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07D2E" w14:textId="77777777" w:rsidR="0059586F" w:rsidRDefault="007648D9">
    <w:pPr>
      <w:pStyle w:val="Footer"/>
      <w:jc w:val="right"/>
    </w:pPr>
    <w:proofErr w:type="spellStart"/>
    <w:r>
      <w:rPr>
        <w:color w:val="5B6573"/>
        <w:sz w:val="16"/>
      </w:rPr>
      <w:t>Rebrandable</w:t>
    </w:r>
    <w:proofErr w:type="spellEnd"/>
    <w:r>
      <w:rPr>
        <w:color w:val="5B6573"/>
        <w:sz w:val="16"/>
      </w:rPr>
      <w:t xml:space="preserve"> state association </w:t>
    </w:r>
    <w:proofErr w:type="gramStart"/>
    <w:r>
      <w:rPr>
        <w:color w:val="5B6573"/>
        <w:sz w:val="16"/>
      </w:rPr>
      <w:t>edition  |</w:t>
    </w:r>
    <w:proofErr w:type="gramEnd"/>
    <w:r>
      <w:rPr>
        <w:color w:val="5B6573"/>
        <w:sz w:val="16"/>
      </w:rPr>
      <w:t xml:space="preserve">  </w:t>
    </w:r>
    <w:r>
      <w:fldChar w:fldCharType="begin"/>
    </w:r>
    <w:r>
      <w:instrText>PAGE</w:instrText>
    </w:r>
    <w:r>
      <w:fldChar w:fldCharType="separate"/>
    </w:r>
    <w:r w:rsidR="00E412F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4A85D" w14:textId="77777777" w:rsidR="00AE7E7E" w:rsidRDefault="00AE7E7E">
      <w:pPr>
        <w:spacing w:after="0" w:line="240" w:lineRule="auto"/>
      </w:pPr>
      <w:r>
        <w:separator/>
      </w:r>
    </w:p>
  </w:footnote>
  <w:footnote w:type="continuationSeparator" w:id="0">
    <w:p w14:paraId="04198B5A" w14:textId="77777777" w:rsidR="00AE7E7E" w:rsidRDefault="00AE7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71FDC" w14:textId="77777777" w:rsidR="0059586F" w:rsidRDefault="007648D9">
    <w:pPr>
      <w:pStyle w:val="Header"/>
    </w:pPr>
    <w:r>
      <w:rPr>
        <w:b/>
        <w:color w:val="5B6573"/>
        <w:sz w:val="16"/>
      </w:rPr>
      <w:t>CONNECTICUT | ACUPUNCTURE COVERAGE AND REIMBURSEMENT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9F54D1F4"/>
    <w:lvl w:ilvl="0">
      <w:start w:val="1"/>
      <w:numFmt w:val="bullet"/>
      <w:pStyle w:val="ListBullet"/>
      <w:lvlText w:val=""/>
      <w:lvlJc w:val="left"/>
      <w:pPr>
        <w:tabs>
          <w:tab w:val="num" w:pos="360"/>
        </w:tabs>
        <w:ind w:left="360" w:hanging="360"/>
      </w:pPr>
      <w:rPr>
        <w:rFonts w:ascii="Symbol" w:hAnsi="Symbol" w:hint="default"/>
      </w:rPr>
    </w:lvl>
  </w:abstractNum>
  <w:num w:numId="1" w16cid:durableId="1202128222">
    <w:abstractNumId w:val="1"/>
  </w:num>
  <w:num w:numId="2" w16cid:durableId="1473717788">
    <w:abstractNumId w:val="4"/>
  </w:num>
  <w:num w:numId="3" w16cid:durableId="1539316208">
    <w:abstractNumId w:val="7"/>
  </w:num>
  <w:num w:numId="4" w16cid:durableId="1737052371">
    <w:abstractNumId w:val="0"/>
  </w:num>
  <w:num w:numId="5" w16cid:durableId="1809006399">
    <w:abstractNumId w:val="8"/>
  </w:num>
  <w:num w:numId="6" w16cid:durableId="1866208914">
    <w:abstractNumId w:val="5"/>
  </w:num>
  <w:num w:numId="7" w16cid:durableId="2128306360">
    <w:abstractNumId w:val="2"/>
  </w:num>
  <w:num w:numId="8" w16cid:durableId="836505400">
    <w:abstractNumId w:val="6"/>
  </w:num>
  <w:num w:numId="9" w16cid:durableId="9019098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3EFE"/>
    <w:rsid w:val="0015074B"/>
    <w:rsid w:val="00194410"/>
    <w:rsid w:val="001D36DE"/>
    <w:rsid w:val="0029639D"/>
    <w:rsid w:val="00326F90"/>
    <w:rsid w:val="003612DC"/>
    <w:rsid w:val="00417B52"/>
    <w:rsid w:val="004C2605"/>
    <w:rsid w:val="0059586F"/>
    <w:rsid w:val="00614132"/>
    <w:rsid w:val="00723EB9"/>
    <w:rsid w:val="007648D9"/>
    <w:rsid w:val="007C1E49"/>
    <w:rsid w:val="00842BA2"/>
    <w:rsid w:val="009275AE"/>
    <w:rsid w:val="009B3C0D"/>
    <w:rsid w:val="00AA1D8D"/>
    <w:rsid w:val="00AD3C45"/>
    <w:rsid w:val="00AE7E7E"/>
    <w:rsid w:val="00B47730"/>
    <w:rsid w:val="00BA7EAF"/>
    <w:rsid w:val="00CB0664"/>
    <w:rsid w:val="00CF3A30"/>
    <w:rsid w:val="00E15506"/>
    <w:rsid w:val="00E412F8"/>
    <w:rsid w:val="00F06C83"/>
    <w:rsid w:val="00FC693F"/>
    <w:rsid w:val="020B0F84"/>
    <w:rsid w:val="39972417"/>
    <w:rsid w:val="4A539C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9F56700"/>
  <w14:defaultImageDpi w14:val="300"/>
  <w15:docId w15:val="{7E89D2AD-8F4E-483E-AD5A-6666F6E17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83" w:lineRule="auto"/>
    </w:pPr>
    <w:rPr>
      <w:rFonts w:ascii="Calibri" w:hAnsi="Calibri"/>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63A5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5"/>
      </w:numPr>
      <w:contextualSpacing/>
    </w:pPr>
  </w:style>
  <w:style w:type="paragraph" w:styleId="ListBullet2">
    <w:name w:val="List Bullet 2"/>
    <w:basedOn w:val="Normal"/>
    <w:uiPriority w:val="99"/>
    <w:unhideWhenUsed/>
    <w:rsid w:val="00326F90"/>
    <w:pPr>
      <w:numPr>
        <w:numId w:val="8"/>
      </w:numPr>
      <w:contextualSpacing/>
    </w:pPr>
  </w:style>
  <w:style w:type="paragraph" w:styleId="ListBullet3">
    <w:name w:val="List Bullet 3"/>
    <w:basedOn w:val="Normal"/>
    <w:uiPriority w:val="99"/>
    <w:unhideWhenUsed/>
    <w:rsid w:val="00326F90"/>
    <w:pPr>
      <w:numPr>
        <w:numId w:val="6"/>
      </w:numPr>
      <w:contextualSpacing/>
    </w:pPr>
  </w:style>
  <w:style w:type="paragraph" w:styleId="ListNumber">
    <w:name w:val="List Number"/>
    <w:basedOn w:val="Normal"/>
    <w:uiPriority w:val="99"/>
    <w:unhideWhenUsed/>
    <w:rsid w:val="00326F90"/>
    <w:pPr>
      <w:numPr>
        <w:numId w:val="3"/>
      </w:numPr>
      <w:contextualSpacing/>
    </w:pPr>
  </w:style>
  <w:style w:type="paragraph" w:styleId="ListNumber2">
    <w:name w:val="List Number 2"/>
    <w:basedOn w:val="Normal"/>
    <w:uiPriority w:val="99"/>
    <w:unhideWhenUsed/>
    <w:rsid w:val="0029639D"/>
    <w:pPr>
      <w:numPr>
        <w:numId w:val="9"/>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2618</Words>
  <Characters>14929</Characters>
  <Application>Microsoft Office Word</Application>
  <DocSecurity>0</DocSecurity>
  <Lines>124</Lines>
  <Paragraphs>35</Paragraphs>
  <ScaleCrop>false</ScaleCrop>
  <Manager/>
  <Company/>
  <LinksUpToDate>false</LinksUpToDate>
  <CharactersWithSpaces>17512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 Coverage and Reimbursement for Licensed Acupuncture in Connecticut</dc:title>
  <dc:subject/>
  <dc:creator>Rebrandable state association edition; source work initiated by Steve Paine, NGAOM</dc:creator>
  <cp:keywords/>
  <dc:description>generated by python-docx</dc:description>
  <cp:lastModifiedBy>Guest User</cp:lastModifiedBy>
  <cp:revision>3</cp:revision>
  <dcterms:created xsi:type="dcterms:W3CDTF">2026-08-17T00:49:00Z</dcterms:created>
  <dcterms:modified xsi:type="dcterms:W3CDTF">2026-08-29T15:18:00Z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51ed5d01-703c-4778-8b1a-4ed69643c9da</vt:lpwstr>
  </property>
</Properties>
</file>