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200" w:before="100"/>
        <w:jc w:val="center"/>
      </w:pPr>
      <w:r>
        <w:drawing>
          <wp:inline distT="0" distB="0" distL="0" distR="0">
            <wp:extent cx="1905000" cy="1495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905000" cy="1495425"/>
                    </a:xfrm>
                    <a:prstGeom prst="rect">
                      <a:avLst/>
                    </a:prstGeom>
                  </pic:spPr>
                </pic:pic>
              </a:graphicData>
            </a:graphic>
          </wp:inline>
        </w:drawing>
      </w:r>
    </w:p>
    <w:p>
      <w:pPr>
        <w:spacing w:before="400"/>
      </w:pPr>
    </w:p>
    <w:p>
      <w:pPr>
        <w:spacing w:after="150"/>
        <w:jc w:val="center"/>
      </w:pPr>
      <w:r>
        <w:rPr>
          <w:b/>
          <w:bCs/>
          <w:color w:val="1F3864"/>
          <w:sz w:val="52"/>
          <w:szCs w:val="52"/>
        </w:rPr>
        <w:t xml:space="preserve">PLANNING YOUR PRACTICE TRANSITION</w:t>
      </w:r>
    </w:p>
    <w:p>
      <w:pPr>
        <w:spacing w:after="500"/>
        <w:jc w:val="center"/>
      </w:pPr>
      <w:r>
        <w:rPr>
          <w:i/>
          <w:iCs/>
          <w:color w:val="444444"/>
          <w:sz w:val="26"/>
          <w:szCs w:val="26"/>
        </w:rPr>
        <w:t xml:space="preserve">A Succession &amp; Sale Readiness Guide for Independent Acupuncture Practitioners</w:t>
      </w:r>
    </w:p>
    <w:p>
      <w:pPr>
        <w:spacing w:after="150"/>
        <w:jc w:val="center"/>
      </w:pPr>
      <w:r>
        <w:rPr>
          <w:b/>
          <w:bCs/>
          <w:color w:val="1B6E6E"/>
          <w:sz w:val="22"/>
          <w:szCs w:val="22"/>
        </w:rPr>
        <w:t xml:space="preserve">Why this matters — and why to start now</w:t>
      </w:r>
    </w:p>
    <w:p>
      <w:pPr>
        <w:spacing w:after="400"/>
        <w:jc w:val="center"/>
      </w:pPr>
      <w:r>
        <w:rPr>
          <w:color w:val="333333"/>
          <w:sz w:val="21"/>
          <w:szCs w:val="21"/>
        </w:rPr>
        <w:t xml:space="preserve">Most acupuncture practices are built around a single practitioner. Without a plan, decades of clinical work and patient relationships can become difficult to transfer, undervalued, or simply lost at retirement, disability, or burnout. The practitioners who capture the most value from a transition are the ones who start planning five to ten years before they need to — not the year of.</w:t>
      </w:r>
    </w:p>
    <w:p>
      <w:r>
        <w:br w:type="page"/>
      </w:r>
    </w:p>
    <w:p>
      <w:pPr>
        <w:pStyle w:val="Heading1"/>
        <w:spacing w:after="180" w:before="400"/>
      </w:pPr>
      <w:r>
        <w:t xml:space="preserve">Why Practice Succession Is a Profession-Wide Issue</w:t>
      </w:r>
    </w:p>
    <w:p>
      <w:pPr>
        <w:spacing w:after="140"/>
      </w:pPr>
      <w:r>
        <w:t xml:space="preserve">Practice succession and sale is one of the most under-addressed business realities facing licensed acupuncturists. The typical practice is a sole practitioner, or a practitioner with one associate or colleague, operating on a lease, with patient relationships, referral sources, and clinical systems that live largely in one person's head and calendar. That structure works well clinically — and works against the practitioner financially when it's time to slow down, relocate, become disabled, or retire.</w:t>
      </w:r>
    </w:p>
    <w:p>
      <w:pPr>
        <w:spacing w:after="140"/>
      </w:pPr>
      <w:r>
        <w:t xml:space="preserve">Unlike a license, a practice's economic value cannot be sold as a credential. What is actually transferred in a sale is the goodwill (patient relationships and referral flow), the brand and reputation, the lease and equipment, the systems and records, and — where one exists — a trained associate who can retain patients under new ownership. Practitioners who build these transferable elements deliberately, over years, generally realize significantly more value — and an easier transition — than those who wait until they are ready to stop working.</w:t>
      </w:r>
    </w:p>
    <w:tbl>
      <w:tblPr>
        <w:tblW w:type="pct" w:w="100%"/>
        <w:tblBorders>
          <w:top w:val="single" w:color="1B6E6E" w:sz="4"/>
          <w:left w:val="single" w:color="1B6E6E" w:sz="4"/>
          <w:bottom w:val="single" w:color="1B6E6E" w:sz="4"/>
          <w:right w:val="single" w:color="1B6E6E" w:sz="4"/>
          <w:insideH w:val="none" w:color="FFFFFF" w:sz="0"/>
          <w:insideV w:val="none" w:color="FFFFFF" w:sz="0"/>
        </w:tblBorders>
      </w:tblPr>
      <w:tblGrid>
        <w:gridCol w:w="100"/>
      </w:tblGrid>
      <w:tr>
        <w:tc>
          <w:tcPr>
            <w:tcW w:type="pct" w:w="100%"/>
            <w:shd w:fill="E8F1F1" w:val="clear"/>
            <w:tcMar>
              <w:top w:type="dxa" w:w="150"/>
              <w:left w:type="dxa" w:w="200"/>
              <w:bottom w:type="dxa" w:w="150"/>
              <w:right w:type="dxa" w:w="200"/>
            </w:tcMar>
          </w:tcPr>
          <w:p>
            <w:pPr>
              <w:spacing w:after="80"/>
            </w:pPr>
            <w:r>
              <w:rPr>
                <w:b/>
                <w:bCs/>
                <w:color w:val="1F3864"/>
                <w:sz w:val="22"/>
                <w:szCs w:val="22"/>
              </w:rPr>
              <w:t xml:space="preserve">Key Takeaway</w:t>
            </w:r>
          </w:p>
          <w:p>
            <w:pPr>
              <w:spacing w:after="40"/>
            </w:pPr>
            <w:r>
              <w:rPr>
                <w:sz w:val="20"/>
                <w:szCs w:val="20"/>
              </w:rPr>
              <w:t xml:space="preserve">• A practice is worth more the less it depends on one specific person.</w:t>
            </w:r>
          </w:p>
          <w:p>
            <w:pPr>
              <w:spacing w:after="40"/>
            </w:pPr>
            <w:r>
              <w:rPr>
                <w:sz w:val="20"/>
                <w:szCs w:val="20"/>
              </w:rPr>
              <w:t xml:space="preserve">• Value-building is a multi-year process, not a paperwork exercise done at the time of sale.</w:t>
            </w:r>
          </w:p>
          <w:p>
            <w:pPr>
              <w:spacing w:after="40"/>
            </w:pPr>
            <w:r>
              <w:rPr>
                <w:sz w:val="20"/>
                <w:szCs w:val="20"/>
              </w:rPr>
              <w:t xml:space="preserve">• This guide is educational only — it is not legal, tax, financial, or valuation advice. Work with qualified professionals before making transition decisions (see the final section).</w:t>
            </w:r>
          </w:p>
        </w:tc>
      </w:tr>
    </w:tbl>
    <w:p>
      <w:pPr>
        <w:pStyle w:val="Heading1"/>
        <w:spacing w:after="180" w:before="400"/>
      </w:pPr>
      <w:r>
        <w:t xml:space="preserve">The Succession Planning Timeline</w:t>
      </w:r>
    </w:p>
    <w:p>
      <w:pPr>
        <w:spacing w:after="140"/>
      </w:pPr>
      <w:r>
        <w:t xml:space="preserve">Practitioners are often surprised to learn how early meaningful succession planning should begin. The table below outlines a general roadmap; individual circumstances (age, health, market, practice size) will shift these windows.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5800"/>
      </w:tblGrid>
      <w:tr>
        <w:trPr>
          <w:tblHeader/>
        </w:trPr>
        <w:tc>
          <w:tcPr>
            <w:tcW w:type="dxa" w:w="3200"/>
            <w:shd w:fill="1F3864" w:val="clear"/>
            <w:tcMar>
              <w:top w:type="dxa" w:w="100"/>
              <w:left w:type="dxa" w:w="120"/>
              <w:bottom w:type="dxa" w:w="100"/>
              <w:right w:type="dxa" w:w="120"/>
            </w:tcMar>
            <w:vAlign w:val="center"/>
          </w:tcPr>
          <w:p>
            <w:r>
              <w:rPr>
                <w:b/>
                <w:bCs/>
                <w:color w:val="FFFFFF"/>
                <w:sz w:val="20"/>
                <w:szCs w:val="20"/>
              </w:rPr>
              <w:t xml:space="preserve">Career Stage</w:t>
            </w:r>
          </w:p>
        </w:tc>
        <w:tc>
          <w:tcPr>
            <w:tcW w:type="dxa" w:w="5800"/>
            <w:shd w:fill="1F3864" w:val="clear"/>
            <w:tcMar>
              <w:top w:type="dxa" w:w="100"/>
              <w:left w:type="dxa" w:w="120"/>
              <w:bottom w:type="dxa" w:w="100"/>
              <w:right w:type="dxa" w:w="120"/>
            </w:tcMar>
            <w:vAlign w:val="center"/>
          </w:tcPr>
          <w:p>
            <w:r>
              <w:rPr>
                <w:b/>
                <w:bCs/>
                <w:color w:val="FFFFFF"/>
                <w:sz w:val="20"/>
                <w:szCs w:val="20"/>
              </w:rPr>
              <w:t xml:space="preserve">What to Do</w:t>
            </w:r>
          </w:p>
        </w:tc>
      </w:tr>
      <w:tr>
        <w:tc>
          <w:tcPr>
            <w:tcW w:type="dxa" w:w="3200"/>
            <w:shd w:fill="FFFFFF" w:val="clear"/>
            <w:tcMar>
              <w:top w:type="dxa" w:w="100"/>
              <w:left w:type="dxa" w:w="120"/>
              <w:bottom w:type="dxa" w:w="100"/>
              <w:right w:type="dxa" w:w="120"/>
            </w:tcMar>
          </w:tcPr>
          <w:p>
            <w:r>
              <w:rPr>
                <w:sz w:val="20"/>
                <w:szCs w:val="20"/>
              </w:rPr>
              <w:t xml:space="preserve">Years 1–5 in practice</w:t>
            </w:r>
          </w:p>
        </w:tc>
        <w:tc>
          <w:tcPr>
            <w:tcW w:type="dxa" w:w="5800"/>
            <w:shd w:fill="FFFFFF" w:val="clear"/>
            <w:tcMar>
              <w:top w:type="dxa" w:w="100"/>
              <w:left w:type="dxa" w:w="120"/>
              <w:bottom w:type="dxa" w:w="100"/>
              <w:right w:type="dxa" w:w="120"/>
            </w:tcMar>
          </w:tcPr>
          <w:p>
            <w:r>
              <w:rPr>
                <w:sz w:val="20"/>
                <w:szCs w:val="20"/>
              </w:rPr>
              <w:t xml:space="preserve">Choose a practice/entity structure and EHR system built for transferability from day one. Keep clean, separate financial books. Begin building referral sources and systems (intake, treatment protocols, patient education) that do not depend solely on your personal memory.</w:t>
            </w:r>
          </w:p>
        </w:tc>
      </w:tr>
      <w:tr>
        <w:tc>
          <w:tcPr>
            <w:tcW w:type="dxa" w:w="3200"/>
            <w:shd w:fill="F2F2F2" w:val="clear"/>
            <w:tcMar>
              <w:top w:type="dxa" w:w="100"/>
              <w:left w:type="dxa" w:w="120"/>
              <w:bottom w:type="dxa" w:w="100"/>
              <w:right w:type="dxa" w:w="120"/>
            </w:tcMar>
          </w:tcPr>
          <w:p>
            <w:r>
              <w:rPr>
                <w:sz w:val="20"/>
                <w:szCs w:val="20"/>
              </w:rPr>
              <w:t xml:space="preserve">5–10 years before an anticipated transition</w:t>
            </w:r>
          </w:p>
        </w:tc>
        <w:tc>
          <w:tcPr>
            <w:tcW w:type="dxa" w:w="5800"/>
            <w:shd w:fill="F2F2F2" w:val="clear"/>
            <w:tcMar>
              <w:top w:type="dxa" w:w="100"/>
              <w:left w:type="dxa" w:w="120"/>
              <w:bottom w:type="dxa" w:w="100"/>
              <w:right w:type="dxa" w:w="120"/>
            </w:tcMar>
          </w:tcPr>
          <w:p>
            <w:r>
              <w:rPr>
                <w:sz w:val="20"/>
                <w:szCs w:val="20"/>
              </w:rPr>
              <w:t xml:space="preserve">Start informal conversations with a CPA and a business/healthcare attorney about entity structure, buy-sell provisions, and lease assignability. Track new-patient sources and retention. Consider bringing on an associate if patient volume supports it.</w:t>
            </w:r>
          </w:p>
        </w:tc>
      </w:tr>
      <w:tr>
        <w:tc>
          <w:tcPr>
            <w:tcW w:type="dxa" w:w="3200"/>
            <w:shd w:fill="FFFFFF" w:val="clear"/>
            <w:tcMar>
              <w:top w:type="dxa" w:w="100"/>
              <w:left w:type="dxa" w:w="120"/>
              <w:bottom w:type="dxa" w:w="100"/>
              <w:right w:type="dxa" w:w="120"/>
            </w:tcMar>
          </w:tcPr>
          <w:p>
            <w:r>
              <w:rPr>
                <w:sz w:val="20"/>
                <w:szCs w:val="20"/>
              </w:rPr>
              <w:t xml:space="preserve">3–5 years before</w:t>
            </w:r>
          </w:p>
        </w:tc>
        <w:tc>
          <w:tcPr>
            <w:tcW w:type="dxa" w:w="5800"/>
            <w:shd w:fill="FFFFFF" w:val="clear"/>
            <w:tcMar>
              <w:top w:type="dxa" w:w="100"/>
              <w:left w:type="dxa" w:w="120"/>
              <w:bottom w:type="dxa" w:w="100"/>
              <w:right w:type="dxa" w:w="120"/>
            </w:tcMar>
          </w:tcPr>
          <w:p>
            <w:r>
              <w:rPr>
                <w:sz w:val="20"/>
                <w:szCs w:val="20"/>
              </w:rPr>
              <w:t xml:space="preserve">Obtain a preliminary practice valuation or informal assessment to identify gaps. Address weaknesses identified (e.g., thin documentation, an unassignable lease, excessive owner dependency). If grooming an associate as a successor, formalize a buy-in timeline in writing.</w:t>
            </w:r>
          </w:p>
        </w:tc>
      </w:tr>
      <w:tr>
        <w:tc>
          <w:tcPr>
            <w:tcW w:type="dxa" w:w="3200"/>
            <w:shd w:fill="F2F2F2" w:val="clear"/>
            <w:tcMar>
              <w:top w:type="dxa" w:w="100"/>
              <w:left w:type="dxa" w:w="120"/>
              <w:bottom w:type="dxa" w:w="100"/>
              <w:right w:type="dxa" w:w="120"/>
            </w:tcMar>
          </w:tcPr>
          <w:p>
            <w:r>
              <w:rPr>
                <w:sz w:val="20"/>
                <w:szCs w:val="20"/>
              </w:rPr>
              <w:t xml:space="preserve">1–2 years before</w:t>
            </w:r>
          </w:p>
        </w:tc>
        <w:tc>
          <w:tcPr>
            <w:tcW w:type="dxa" w:w="5800"/>
            <w:shd w:fill="F2F2F2" w:val="clear"/>
            <w:tcMar>
              <w:top w:type="dxa" w:w="100"/>
              <w:left w:type="dxa" w:w="120"/>
              <w:bottom w:type="dxa" w:w="100"/>
              <w:right w:type="dxa" w:w="120"/>
            </w:tcMar>
          </w:tcPr>
          <w:p>
            <w:r>
              <w:rPr>
                <w:sz w:val="20"/>
                <w:szCs w:val="20"/>
              </w:rPr>
              <w:t xml:space="preserve">Obtain a formal valuation from a qualified business appraiser. Engage a broker and/or attorney experienced in healthcare practice sales. Organize the full due-diligence document set (see checklist below). Review and, if needed, renegotiate the lease for assignability.</w:t>
            </w:r>
          </w:p>
        </w:tc>
      </w:tr>
      <w:tr>
        <w:tc>
          <w:tcPr>
            <w:tcW w:type="dxa" w:w="3200"/>
            <w:shd w:fill="FFFFFF" w:val="clear"/>
            <w:tcMar>
              <w:top w:type="dxa" w:w="100"/>
              <w:left w:type="dxa" w:w="120"/>
              <w:bottom w:type="dxa" w:w="100"/>
              <w:right w:type="dxa" w:w="120"/>
            </w:tcMar>
          </w:tcPr>
          <w:p>
            <w:r>
              <w:rPr>
                <w:sz w:val="20"/>
                <w:szCs w:val="20"/>
              </w:rPr>
              <w:t xml:space="preserve">At transition</w:t>
            </w:r>
          </w:p>
        </w:tc>
        <w:tc>
          <w:tcPr>
            <w:tcW w:type="dxa" w:w="5800"/>
            <w:shd w:fill="FFFFFF" w:val="clear"/>
            <w:tcMar>
              <w:top w:type="dxa" w:w="100"/>
              <w:left w:type="dxa" w:w="120"/>
              <w:bottom w:type="dxa" w:w="100"/>
              <w:right w:type="dxa" w:w="120"/>
            </w:tcMar>
          </w:tcPr>
          <w:p>
            <w:r>
              <w:rPr>
                <w:sz w:val="20"/>
                <w:szCs w:val="20"/>
              </w:rPr>
              <w:t xml:space="preserve">Negotiate and execute a purchase (or buy-in) agreement, a transition/consulting period, and any restrictive covenants (reviewed for state-specific enforceability). Provide required patient notice regarding records and continuity of care.</w:t>
            </w:r>
          </w:p>
        </w:tc>
      </w:tr>
    </w:tbl>
    <w:p>
      <w:pPr>
        <w:pStyle w:val="Heading1"/>
        <w:spacing w:after="180" w:before="400"/>
      </w:pPr>
      <w:r>
        <w:t xml:space="preserve">What Actually Creates Value in an Acupuncture Practice</w:t>
      </w:r>
    </w:p>
    <w:p>
      <w:pPr>
        <w:spacing w:after="140"/>
      </w:pPr>
      <w:r>
        <w:t xml:space="preserve">Because a professional license cannot itself be transferred, buyers and appraisers focus on the elements of the practice that are transferable and durable. The following factors are the primary drivers of value.</w:t>
      </w:r>
    </w:p>
    <w:p>
      <w:pPr>
        <w:pStyle w:val="Heading2"/>
        <w:spacing w:after="120" w:before="260"/>
      </w:pPr>
      <w:r>
        <w:t xml:space="preserve">1. Financial Performance</w:t>
      </w:r>
    </w:p>
    <w:p>
      <w:pPr>
        <w:pStyle w:val="ListParagraph"/>
        <w:numPr>
          <w:ilvl w:val="0"/>
          <w:numId w:val="1"/>
        </w:numPr>
        <w:spacing w:after="80"/>
      </w:pPr>
      <w:r>
        <w:t xml:space="preserve">3–5 years of consistent, verifiable revenue and profitability (tax returns and bookkeeping should match).</w:t>
      </w:r>
    </w:p>
    <w:p>
      <w:pPr>
        <w:pStyle w:val="ListParagraph"/>
        <w:numPr>
          <w:ilvl w:val="0"/>
          <w:numId w:val="1"/>
        </w:numPr>
        <w:spacing w:after="80"/>
      </w:pPr>
      <w:r>
        <w:t xml:space="preserve">Seller's Discretionary Earnings (SDE) — profit plus owner's compensation, benefits, and discretionary/personal expenses added back — is the metric most often used for a small practice.</w:t>
      </w:r>
    </w:p>
    <w:p>
      <w:pPr>
        <w:pStyle w:val="ListParagraph"/>
        <w:numPr>
          <w:ilvl w:val="0"/>
          <w:numId w:val="1"/>
        </w:numPr>
        <w:spacing w:after="80"/>
      </w:pPr>
      <w:r>
        <w:t xml:space="preserve">A stable or growing revenue trend is valued far more highly than a flat or declining one, even at the same current revenue level.</w:t>
      </w:r>
    </w:p>
    <w:p>
      <w:pPr>
        <w:pStyle w:val="Heading2"/>
        <w:spacing w:after="120" w:before="260"/>
      </w:pPr>
      <w:r>
        <w:t xml:space="preserve">2. Patient Panel and Referral Flow</w:t>
      </w:r>
    </w:p>
    <w:p>
      <w:pPr>
        <w:pStyle w:val="ListParagraph"/>
        <w:numPr>
          <w:ilvl w:val="0"/>
          <w:numId w:val="1"/>
        </w:numPr>
        <w:spacing w:after="80"/>
      </w:pPr>
      <w:r>
        <w:t xml:space="preserve">Size of the active patient panel, visit frequency, and average patient lifetime value.</w:t>
      </w:r>
    </w:p>
    <w:p>
      <w:pPr>
        <w:pStyle w:val="ListParagraph"/>
        <w:numPr>
          <w:ilvl w:val="0"/>
          <w:numId w:val="1"/>
        </w:numPr>
        <w:spacing w:after="80"/>
      </w:pPr>
      <w:r>
        <w:t xml:space="preserve">New-patient flow rate and its sources — a diversified referral base (multiple referring providers, organic/online, word of mouth) transfers far better than a single dominant referral relationship.</w:t>
      </w:r>
    </w:p>
    <w:p>
      <w:pPr>
        <w:pStyle w:val="ListParagraph"/>
        <w:numPr>
          <w:ilvl w:val="0"/>
          <w:numId w:val="1"/>
        </w:numPr>
        <w:spacing w:after="80"/>
      </w:pPr>
      <w:r>
        <w:t xml:space="preserve">Payer mix: cash-pay practices are generally simpler and faster to transfer than heavily insurance-dependent practices, because in-network credentialing does not transfer to a buyer (see the acupuncture-specific section below).</w:t>
      </w:r>
    </w:p>
    <w:p>
      <w:pPr>
        <w:pStyle w:val="Heading2"/>
        <w:spacing w:after="120" w:before="260"/>
      </w:pPr>
      <w:r>
        <w:t xml:space="preserve">3. Owner Dependency (the single biggest value factor)</w:t>
      </w:r>
    </w:p>
    <w:p>
      <w:pPr>
        <w:pStyle w:val="ListParagraph"/>
        <w:numPr>
          <w:ilvl w:val="0"/>
          <w:numId w:val="1"/>
        </w:numPr>
        <w:spacing w:after="80"/>
      </w:pPr>
      <w:r>
        <w:t xml:space="preserve">The extent to which patients come, and stay, because of the specific practitioner personally, versus the brand, location, or clinic systems.</w:t>
      </w:r>
    </w:p>
    <w:p>
      <w:pPr>
        <w:pStyle w:val="ListParagraph"/>
        <w:numPr>
          <w:ilvl w:val="0"/>
          <w:numId w:val="1"/>
        </w:numPr>
        <w:spacing w:after="80"/>
      </w:pPr>
      <w:r>
        <w:t xml:space="preserve">A practice with an associate who already has an independent following, or with well-documented treatment protocols and patient communications, is worth substantially more than an identical-revenue practice built entirely around one person's personal relationships.</w:t>
      </w:r>
    </w:p>
    <w:p>
      <w:pPr>
        <w:pStyle w:val="Heading2"/>
        <w:spacing w:after="120" w:before="260"/>
      </w:pPr>
      <w:r>
        <w:t xml:space="preserve">4. Lease, Location, and Equipment</w:t>
      </w:r>
    </w:p>
    <w:p>
      <w:pPr>
        <w:pStyle w:val="ListParagraph"/>
        <w:numPr>
          <w:ilvl w:val="0"/>
          <w:numId w:val="1"/>
        </w:numPr>
        <w:spacing w:after="80"/>
      </w:pPr>
      <w:r>
        <w:t xml:space="preserve">Whether the lease is assignable to a buyer, the term remaining, and whether the location itself (visibility, parking, accessibility) supports the patient base independent of the current owner.</w:t>
      </w:r>
    </w:p>
    <w:p>
      <w:pPr>
        <w:pStyle w:val="ListParagraph"/>
        <w:numPr>
          <w:ilvl w:val="0"/>
          <w:numId w:val="1"/>
        </w:numPr>
        <w:spacing w:after="80"/>
      </w:pPr>
      <w:r>
        <w:t xml:space="preserve">Condition and remaining useful life of treatment tables, equipment, and any specialty modality tools.</w:t>
      </w:r>
    </w:p>
    <w:p>
      <w:pPr>
        <w:pStyle w:val="Heading2"/>
        <w:spacing w:after="120" w:before="260"/>
      </w:pPr>
      <w:r>
        <w:t xml:space="preserve">5. Systems, Documentation, and Compliance</w:t>
      </w:r>
    </w:p>
    <w:p>
      <w:pPr>
        <w:pStyle w:val="ListParagraph"/>
        <w:numPr>
          <w:ilvl w:val="0"/>
          <w:numId w:val="1"/>
        </w:numPr>
        <w:spacing w:after="80"/>
      </w:pPr>
      <w:r>
        <w:t xml:space="preserve">Organized, complete patient records in a transferable EHR format; documented SOPs for intake, treatment, billing, and follow-up.</w:t>
      </w:r>
    </w:p>
    <w:p>
      <w:pPr>
        <w:pStyle w:val="ListParagraph"/>
        <w:numPr>
          <w:ilvl w:val="0"/>
          <w:numId w:val="1"/>
        </w:numPr>
        <w:spacing w:after="80"/>
      </w:pPr>
      <w:r>
        <w:t xml:space="preserve">Clean HIPAA compliance history, current licensure/certification (NCCAOM and state), and no material malpractice or board history.</w:t>
      </w:r>
    </w:p>
    <w:p>
      <w:pPr>
        <w:pStyle w:val="Heading2"/>
        <w:spacing w:after="120" w:before="260"/>
      </w:pPr>
      <w:r>
        <w:t xml:space="preserve">6. Staff and Associates</w:t>
      </w:r>
    </w:p>
    <w:p>
      <w:pPr>
        <w:pStyle w:val="ListParagraph"/>
        <w:numPr>
          <w:ilvl w:val="0"/>
          <w:numId w:val="1"/>
        </w:numPr>
        <w:spacing w:after="80"/>
      </w:pPr>
      <w:r>
        <w:t xml:space="preserve">Trained front-desk and clinical staff willing to remain post-sale materially reduce transition risk and support a higher valuation.</w:t>
      </w:r>
    </w:p>
    <w:p>
      <w:r>
        <w:br w:type="page"/>
      </w:r>
    </w:p>
    <w:p>
      <w:pPr>
        <w:pStyle w:val="Heading1"/>
        <w:spacing w:after="180" w:before="400"/>
      </w:pPr>
      <w:r>
        <w:t xml:space="preserve">Establishing Value: Approaches and Illustrative Ranges</w:t>
      </w:r>
    </w:p>
    <w:p>
      <w:pPr>
        <w:spacing w:after="140"/>
      </w:pPr>
      <w:r>
        <w:t xml:space="preserve">A qualified business valuation professional — ideally one with healthcare or complementary/integrative-medicine experience — should perform any valuation intended to support an actual sale, buy-in, partnership, estate, or divorce matter. The approaches below are the general methods used; the ranges are illustrative orientation points only, not an appraisal of any specific practice.</w:t>
      </w:r>
    </w:p>
    <w:p>
      <w:pPr>
        <w:pStyle w:val="Heading2"/>
        <w:spacing w:after="120" w:before="260"/>
      </w:pPr>
      <w:r>
        <w:t xml:space="preserve">Income (Earnings) Approach</w:t>
      </w:r>
    </w:p>
    <w:p>
      <w:pPr>
        <w:spacing w:after="140"/>
      </w:pPr>
      <w:r>
        <w:t xml:space="preserve">Values the practice based on its ability to generate future earnings, typically by applying a multiple to Seller's Discretionary Earnings (SDE) or, for larger practices with a manager in place, EBITDA. This is the most commonly used approach for solo and small-group practices.</w:t>
      </w:r>
    </w:p>
    <w:p>
      <w:pPr>
        <w:pStyle w:val="Heading2"/>
        <w:spacing w:after="120" w:before="260"/>
      </w:pPr>
      <w:r>
        <w:t xml:space="preserve">Market Approach</w:t>
      </w:r>
    </w:p>
    <w:p>
      <w:pPr>
        <w:spacing w:after="140"/>
      </w:pPr>
      <w:r>
        <w:t xml:space="preserve">Compares the practice to recent sales of similar practices. Acupuncture-specific transaction data is limited and not centrally published; appraisers and brokers often reference data from adjacent fields (chiropractic, massage therapy, integrative wellness clinics) as an imperfect proxy, adjusted for differences in payer mix and regulatory environment.</w:t>
      </w:r>
    </w:p>
    <w:p>
      <w:pPr>
        <w:pStyle w:val="Heading2"/>
        <w:spacing w:after="120" w:before="260"/>
      </w:pPr>
      <w:r>
        <w:t xml:space="preserve">Asset-Based Approach</w:t>
      </w:r>
    </w:p>
    <w:p>
      <w:pPr>
        <w:spacing w:after="140"/>
      </w:pPr>
      <w:r>
        <w:t xml:space="preserve">Values tangible assets (equipment, furniture, supply inventory) at fair market value, with goodwill considered separately — often used as a floor value or for practices with substantial owner dependency and limited transferable goodwill.</w:t>
      </w:r>
    </w:p>
    <w:tbl>
      <w:tblPr>
        <w:tblW w:type="pct" w:w="100%"/>
        <w:tblBorders>
          <w:top w:val="single" w:color="1B6E6E" w:sz="4"/>
          <w:left w:val="single" w:color="1B6E6E" w:sz="4"/>
          <w:bottom w:val="single" w:color="1B6E6E" w:sz="4"/>
          <w:right w:val="single" w:color="1B6E6E" w:sz="4"/>
          <w:insideH w:val="none" w:color="FFFFFF" w:sz="0"/>
          <w:insideV w:val="none" w:color="FFFFFF" w:sz="0"/>
        </w:tblBorders>
      </w:tblPr>
      <w:tblGrid>
        <w:gridCol w:w="100"/>
      </w:tblGrid>
      <w:tr>
        <w:tc>
          <w:tcPr>
            <w:tcW w:type="pct" w:w="100%"/>
            <w:shd w:fill="E8F1F1" w:val="clear"/>
            <w:tcMar>
              <w:top w:type="dxa" w:w="150"/>
              <w:left w:type="dxa" w:w="200"/>
              <w:bottom w:type="dxa" w:w="150"/>
              <w:right w:type="dxa" w:w="200"/>
            </w:tcMar>
          </w:tcPr>
          <w:p>
            <w:pPr>
              <w:spacing w:after="80"/>
            </w:pPr>
            <w:r>
              <w:rPr>
                <w:b/>
                <w:bCs/>
                <w:color w:val="1F3864"/>
                <w:sz w:val="22"/>
                <w:szCs w:val="22"/>
              </w:rPr>
              <w:t xml:space="preserve">Illustrative Ranges Commonly Cited for Small Solo Healthcare/Wellness Practices</w:t>
            </w:r>
          </w:p>
          <w:p>
            <w:pPr>
              <w:spacing w:after="40"/>
            </w:pPr>
            <w:r>
              <w:rPr>
                <w:sz w:val="20"/>
                <w:szCs w:val="20"/>
              </w:rPr>
              <w:t xml:space="preserve">• Revenue multiple: roughly 0.4× to 1.0× trailing annual gross revenue.</w:t>
            </w:r>
          </w:p>
          <w:p>
            <w:pPr>
              <w:spacing w:after="40"/>
            </w:pPr>
            <w:r>
              <w:rPr>
                <w:sz w:val="20"/>
                <w:szCs w:val="20"/>
              </w:rPr>
              <w:t xml:space="preserve">• SDE multiple: roughly 1.0× to 2.5× Seller's Discretionary Earnings.</w:t>
            </w:r>
          </w:p>
          <w:p>
            <w:pPr>
              <w:spacing w:after="40"/>
            </w:pPr>
            <w:r>
              <w:rPr>
                <w:sz w:val="20"/>
                <w:szCs w:val="20"/>
              </w:rPr>
              <w:t xml:space="preserve">• Cash-pay, high-retention, low-owner-dependency practices with documented systems tend toward the higher end; heavily owner-dependent, declining, or thin-documentation practices tend toward the lower end or may carry little separate goodwill value.</w:t>
            </w:r>
          </w:p>
          <w:p>
            <w:pPr>
              <w:spacing w:after="40"/>
            </w:pPr>
            <w:r>
              <w:rPr>
                <w:sz w:val="20"/>
                <w:szCs w:val="20"/>
              </w:rPr>
              <w:t xml:space="preserve">• These figures vary substantially by geography, competitive density, payer mix, growth trend, and deal structure (e.g., seller financing, earn-outs, transition consulting periods) — they are a starting orientation only, not a valuation.</w:t>
            </w:r>
          </w:p>
        </w:tc>
      </w:tr>
    </w:tbl>
    <w:p>
      <w:pPr>
        <w:pStyle w:val="Heading2"/>
        <w:spacing w:after="120" w:before="260"/>
      </w:pPr>
      <w:r>
        <w:t xml:space="preserve">What You Might Actually Receive: Deal Structure and Realized Compensation</w:t>
      </w:r>
    </w:p>
    <w:p>
      <w:pPr>
        <w:spacing w:after="140"/>
      </w:pPr>
      <w:r>
        <w:t xml:space="preserve">The purchase-price multiple is only part of the picture. How a deal is structured changes what a seller actually realizes, and when:</w:t>
      </w:r>
    </w:p>
    <w:p>
      <w:pPr>
        <w:pStyle w:val="ListParagraph"/>
        <w:numPr>
          <w:ilvl w:val="0"/>
          <w:numId w:val="1"/>
        </w:numPr>
        <w:spacing w:after="80"/>
      </w:pPr>
      <w:r>
        <w:t xml:space="preserve">Cash at closing plus a seller note: commonly 50–70% cash upfront with the remainder paid by the buyer over 3–5 years — very common in individual-to-individual sales, since buyers rarely have full cash and outside financing for a small practice acquisition is limited.</w:t>
      </w:r>
    </w:p>
    <w:p>
      <w:pPr>
        <w:pStyle w:val="ListParagraph"/>
        <w:numPr>
          <w:ilvl w:val="0"/>
          <w:numId w:val="1"/>
        </w:numPr>
        <w:spacing w:after="80"/>
      </w:pPr>
      <w:r>
        <w:t xml:space="preserve">Earn-out tied to patient retention: a portion of the price is paid only if patients actually remain with the buyer through a defined post-sale period, shifting some transition risk back onto the seller.</w:t>
      </w:r>
    </w:p>
    <w:p>
      <w:pPr>
        <w:pStyle w:val="ListParagraph"/>
        <w:numPr>
          <w:ilvl w:val="0"/>
          <w:numId w:val="1"/>
        </w:numPr>
        <w:spacing w:after="80"/>
      </w:pPr>
      <w:r>
        <w:t xml:space="preserve">Transition or consulting compensation: many deals include a separate paid period (often 3–12 months) where the seller continues working part-time to transfer trust to the buyer — this is compensation in addition to the purchase price.</w:t>
      </w:r>
    </w:p>
    <w:p>
      <w:pPr>
        <w:pStyle w:val="ListParagraph"/>
        <w:numPr>
          <w:ilvl w:val="0"/>
          <w:numId w:val="1"/>
        </w:numPr>
        <w:spacing w:after="80"/>
      </w:pPr>
      <w:r>
        <w:t xml:space="preserve">Employment-based deals (medical group or hospital buyer): often a smaller or no separate lump-sum purchase price, with realized value instead coming through a salary and production-bonus employment agreement negotiated alongside a smaller asset/goodwill payment.</w:t>
      </w:r>
    </w:p>
    <w:p>
      <w:pPr>
        <w:pStyle w:val="ListParagraph"/>
        <w:numPr>
          <w:ilvl w:val="0"/>
          <w:numId w:val="1"/>
        </w:numPr>
        <w:spacing w:after="80"/>
      </w:pPr>
      <w:r>
        <w:t xml:space="preserve">Internal associate buy-ins: typically priced below external market value and often funded gradually out of the practice's own future cash flow rather than outside financing.</w:t>
      </w:r>
    </w:p>
    <w:p>
      <w:pPr>
        <w:spacing w:after="140"/>
      </w:pPr>
      <w:r>
        <w:t xml:space="preserve">Because acupuncture-specific transaction data is thin, a specific dollar estimate should come from an actual valuation of a practice's own financials, not a general guide.</w:t>
      </w:r>
    </w:p>
    <w:p>
      <w:pPr>
        <w:pStyle w:val="Heading1"/>
        <w:spacing w:after="180" w:before="400"/>
      </w:pPr>
      <w:r>
        <w:t xml:space="preserve">Documentation Needed to Establish Value</w:t>
      </w:r>
    </w:p>
    <w:p>
      <w:pPr>
        <w:spacing w:after="140"/>
      </w:pPr>
      <w:r>
        <w:t xml:space="preserve">The following is typically requested by a buyer, appraiser, lender, or broker during valuation and due diligence. Assembling this early — years before an anticipated sale — is itself one of the highest-value planning steps a practitioner can take.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tcW w:type="dxa" w:w="2600"/>
            <w:shd w:fill="1F3864" w:val="clear"/>
            <w:tcMar>
              <w:top w:type="dxa" w:w="100"/>
              <w:left w:type="dxa" w:w="120"/>
              <w:bottom w:type="dxa" w:w="100"/>
              <w:right w:type="dxa" w:w="120"/>
            </w:tcMar>
            <w:vAlign w:val="center"/>
          </w:tcPr>
          <w:p>
            <w:r>
              <w:rPr>
                <w:b/>
                <w:bCs/>
                <w:color w:val="FFFFFF"/>
                <w:sz w:val="20"/>
                <w:szCs w:val="20"/>
              </w:rPr>
              <w:t xml:space="preserve">Category</w:t>
            </w:r>
          </w:p>
        </w:tc>
        <w:tc>
          <w:tcPr>
            <w:tcW w:type="dxa" w:w="6400"/>
            <w:shd w:fill="1F3864" w:val="clear"/>
            <w:tcMar>
              <w:top w:type="dxa" w:w="100"/>
              <w:left w:type="dxa" w:w="120"/>
              <w:bottom w:type="dxa" w:w="100"/>
              <w:right w:type="dxa" w:w="120"/>
            </w:tcMar>
            <w:vAlign w:val="center"/>
          </w:tcPr>
          <w:p>
            <w:r>
              <w:rPr>
                <w:b/>
                <w:bCs/>
                <w:color w:val="FFFFFF"/>
                <w:sz w:val="20"/>
                <w:szCs w:val="20"/>
              </w:rPr>
              <w:t xml:space="preserve">Typical Documentation</w:t>
            </w:r>
          </w:p>
        </w:tc>
      </w:tr>
      <w:tr>
        <w:tc>
          <w:tcPr>
            <w:tcW w:type="dxa" w:w="2600"/>
            <w:shd w:fill="FFFFFF" w:val="clear"/>
            <w:tcMar>
              <w:top w:type="dxa" w:w="100"/>
              <w:left w:type="dxa" w:w="120"/>
              <w:bottom w:type="dxa" w:w="100"/>
              <w:right w:type="dxa" w:w="120"/>
            </w:tcMar>
          </w:tcPr>
          <w:p>
            <w:r>
              <w:rPr>
                <w:sz w:val="20"/>
                <w:szCs w:val="20"/>
              </w:rPr>
              <w:t xml:space="preserve">Financial</w:t>
            </w:r>
          </w:p>
        </w:tc>
        <w:tc>
          <w:tcPr>
            <w:tcW w:type="dxa" w:w="6400"/>
            <w:shd w:fill="FFFFFF" w:val="clear"/>
            <w:tcMar>
              <w:top w:type="dxa" w:w="100"/>
              <w:left w:type="dxa" w:w="120"/>
              <w:bottom w:type="dxa" w:w="100"/>
              <w:right w:type="dxa" w:w="120"/>
            </w:tcMar>
          </w:tcPr>
          <w:p>
            <w:r>
              <w:rPr>
                <w:sz w:val="20"/>
                <w:szCs w:val="20"/>
              </w:rPr>
              <w:t xml:space="preserve">3–5 years of profit &amp; loss statements, balance sheets, and business tax returns; bank statements; current fee schedule; accounts receivable aging.</w:t>
            </w:r>
          </w:p>
        </w:tc>
      </w:tr>
      <w:tr>
        <w:tc>
          <w:tcPr>
            <w:tcW w:type="dxa" w:w="2600"/>
            <w:shd w:fill="F2F2F2" w:val="clear"/>
            <w:tcMar>
              <w:top w:type="dxa" w:w="100"/>
              <w:left w:type="dxa" w:w="120"/>
              <w:bottom w:type="dxa" w:w="100"/>
              <w:right w:type="dxa" w:w="120"/>
            </w:tcMar>
          </w:tcPr>
          <w:p>
            <w:r>
              <w:rPr>
                <w:sz w:val="20"/>
                <w:szCs w:val="20"/>
              </w:rPr>
              <w:t xml:space="preserve">Patient / Clinical Volume</w:t>
            </w:r>
          </w:p>
        </w:tc>
        <w:tc>
          <w:tcPr>
            <w:tcW w:type="dxa" w:w="6400"/>
            <w:shd w:fill="F2F2F2" w:val="clear"/>
            <w:tcMar>
              <w:top w:type="dxa" w:w="100"/>
              <w:left w:type="dxa" w:w="120"/>
              <w:bottom w:type="dxa" w:w="100"/>
              <w:right w:type="dxa" w:w="120"/>
            </w:tcMar>
          </w:tcPr>
          <w:p>
            <w:r>
              <w:rPr>
                <w:sz w:val="20"/>
                <w:szCs w:val="20"/>
              </w:rPr>
              <w:t xml:space="preserve">Monthly visit counts and new-patient counts for 3–5 years; patient retention/attrition data; payer mix breakdown (cash vs. each insurance payer).</w:t>
            </w:r>
          </w:p>
        </w:tc>
      </w:tr>
      <w:tr>
        <w:tc>
          <w:tcPr>
            <w:tcW w:type="dxa" w:w="2600"/>
            <w:shd w:fill="FFFFFF" w:val="clear"/>
            <w:tcMar>
              <w:top w:type="dxa" w:w="100"/>
              <w:left w:type="dxa" w:w="120"/>
              <w:bottom w:type="dxa" w:w="100"/>
              <w:right w:type="dxa" w:w="120"/>
            </w:tcMar>
          </w:tcPr>
          <w:p>
            <w:r>
              <w:rPr>
                <w:sz w:val="20"/>
                <w:szCs w:val="20"/>
              </w:rPr>
              <w:t xml:space="preserve">Legal / Entity</w:t>
            </w:r>
          </w:p>
        </w:tc>
        <w:tc>
          <w:tcPr>
            <w:tcW w:type="dxa" w:w="6400"/>
            <w:shd w:fill="FFFFFF" w:val="clear"/>
            <w:tcMar>
              <w:top w:type="dxa" w:w="100"/>
              <w:left w:type="dxa" w:w="120"/>
              <w:bottom w:type="dxa" w:w="100"/>
              <w:right w:type="dxa" w:w="120"/>
            </w:tcMar>
          </w:tcPr>
          <w:p>
            <w:r>
              <w:rPr>
                <w:sz w:val="20"/>
                <w:szCs w:val="20"/>
              </w:rPr>
              <w:t xml:space="preserve">Business formation documents; any partnership, buy-sell, or associate agreements; malpractice insurance history and claims history.</w:t>
            </w:r>
          </w:p>
        </w:tc>
      </w:tr>
      <w:tr>
        <w:tc>
          <w:tcPr>
            <w:tcW w:type="dxa" w:w="2600"/>
            <w:shd w:fill="F2F2F2" w:val="clear"/>
            <w:tcMar>
              <w:top w:type="dxa" w:w="100"/>
              <w:left w:type="dxa" w:w="120"/>
              <w:bottom w:type="dxa" w:w="100"/>
              <w:right w:type="dxa" w:w="120"/>
            </w:tcMar>
          </w:tcPr>
          <w:p>
            <w:r>
              <w:rPr>
                <w:sz w:val="20"/>
                <w:szCs w:val="20"/>
              </w:rPr>
              <w:t xml:space="preserve">Facility</w:t>
            </w:r>
          </w:p>
        </w:tc>
        <w:tc>
          <w:tcPr>
            <w:tcW w:type="dxa" w:w="6400"/>
            <w:shd w:fill="F2F2F2" w:val="clear"/>
            <w:tcMar>
              <w:top w:type="dxa" w:w="100"/>
              <w:left w:type="dxa" w:w="120"/>
              <w:bottom w:type="dxa" w:w="100"/>
              <w:right w:type="dxa" w:w="120"/>
            </w:tcMar>
          </w:tcPr>
          <w:p>
            <w:r>
              <w:rPr>
                <w:sz w:val="20"/>
                <w:szCs w:val="20"/>
              </w:rPr>
              <w:t xml:space="preserve">Lease agreement (including assignment and renewal terms); equipment list with age/condition; any facility permits.</w:t>
            </w:r>
          </w:p>
        </w:tc>
      </w:tr>
      <w:tr>
        <w:tc>
          <w:tcPr>
            <w:tcW w:type="dxa" w:w="2600"/>
            <w:shd w:fill="FFFFFF" w:val="clear"/>
            <w:tcMar>
              <w:top w:type="dxa" w:w="100"/>
              <w:left w:type="dxa" w:w="120"/>
              <w:bottom w:type="dxa" w:w="100"/>
              <w:right w:type="dxa" w:w="120"/>
            </w:tcMar>
          </w:tcPr>
          <w:p>
            <w:r>
              <w:rPr>
                <w:sz w:val="20"/>
                <w:szCs w:val="20"/>
              </w:rPr>
              <w:t xml:space="preserve">Licensure / Compliance</w:t>
            </w:r>
          </w:p>
        </w:tc>
        <w:tc>
          <w:tcPr>
            <w:tcW w:type="dxa" w:w="6400"/>
            <w:shd w:fill="FFFFFF" w:val="clear"/>
            <w:tcMar>
              <w:top w:type="dxa" w:w="100"/>
              <w:left w:type="dxa" w:w="120"/>
              <w:bottom w:type="dxa" w:w="100"/>
              <w:right w:type="dxa" w:w="120"/>
            </w:tcMar>
          </w:tcPr>
          <w:p>
            <w:r>
              <w:rPr>
                <w:sz w:val="20"/>
                <w:szCs w:val="20"/>
              </w:rPr>
              <w:t xml:space="preserve">Current state license and NCCAOM certification; HIPAA policies and any breach history; state board disciplinary history (if any).</w:t>
            </w:r>
          </w:p>
        </w:tc>
      </w:tr>
      <w:tr>
        <w:tc>
          <w:tcPr>
            <w:tcW w:type="dxa" w:w="2600"/>
            <w:shd w:fill="F2F2F2" w:val="clear"/>
            <w:tcMar>
              <w:top w:type="dxa" w:w="100"/>
              <w:left w:type="dxa" w:w="120"/>
              <w:bottom w:type="dxa" w:w="100"/>
              <w:right w:type="dxa" w:w="120"/>
            </w:tcMar>
          </w:tcPr>
          <w:p>
            <w:r>
              <w:rPr>
                <w:sz w:val="20"/>
                <w:szCs w:val="20"/>
              </w:rPr>
              <w:t xml:space="preserve">Marketing / Reputation</w:t>
            </w:r>
          </w:p>
        </w:tc>
        <w:tc>
          <w:tcPr>
            <w:tcW w:type="dxa" w:w="6400"/>
            <w:shd w:fill="F2F2F2" w:val="clear"/>
            <w:tcMar>
              <w:top w:type="dxa" w:w="100"/>
              <w:left w:type="dxa" w:w="120"/>
              <w:bottom w:type="dxa" w:w="100"/>
              <w:right w:type="dxa" w:w="120"/>
            </w:tcMar>
          </w:tcPr>
          <w:p>
            <w:r>
              <w:rPr>
                <w:sz w:val="20"/>
                <w:szCs w:val="20"/>
              </w:rPr>
              <w:t xml:space="preserve">Website analytics, online review profile and ratings, referral source breakdown, social media presence.</w:t>
            </w:r>
          </w:p>
        </w:tc>
      </w:tr>
      <w:tr>
        <w:tc>
          <w:tcPr>
            <w:tcW w:type="dxa" w:w="2600"/>
            <w:shd w:fill="FFFFFF" w:val="clear"/>
            <w:tcMar>
              <w:top w:type="dxa" w:w="100"/>
              <w:left w:type="dxa" w:w="120"/>
              <w:bottom w:type="dxa" w:w="100"/>
              <w:right w:type="dxa" w:w="120"/>
            </w:tcMar>
          </w:tcPr>
          <w:p>
            <w:r>
              <w:rPr>
                <w:sz w:val="20"/>
                <w:szCs w:val="20"/>
              </w:rPr>
              <w:t xml:space="preserve">Staffing</w:t>
            </w:r>
          </w:p>
        </w:tc>
        <w:tc>
          <w:tcPr>
            <w:tcW w:type="dxa" w:w="6400"/>
            <w:shd w:fill="FFFFFF" w:val="clear"/>
            <w:tcMar>
              <w:top w:type="dxa" w:w="100"/>
              <w:left w:type="dxa" w:w="120"/>
              <w:bottom w:type="dxa" w:w="100"/>
              <w:right w:type="dxa" w:w="120"/>
            </w:tcMar>
          </w:tcPr>
          <w:p>
            <w:r>
              <w:rPr>
                <w:sz w:val="20"/>
                <w:szCs w:val="20"/>
              </w:rPr>
              <w:t xml:space="preserve">Employment agreements, compensation structures, and willingness of staff/associates to remain post-transition.</w:t>
            </w:r>
          </w:p>
        </w:tc>
      </w:tr>
    </w:tbl>
    <w:p>
      <w:r>
        <w:br w:type="page"/>
      </w:r>
    </w:p>
    <w:p>
      <w:pPr>
        <w:pStyle w:val="Heading1"/>
        <w:spacing w:after="180" w:before="400"/>
      </w:pPr>
      <w:r>
        <w:t xml:space="preserve">COVID-Era SBA Loans (EIDL / PPP) and Their Effect on a Sale</w:t>
      </w:r>
    </w:p>
    <w:p>
      <w:pPr>
        <w:spacing w:after="140"/>
      </w:pPr>
      <w:r>
        <w:t xml:space="preserve">Many acupuncture practices took on SBA COVID-relief debt — the Economic Injury Disaster Loan (EIDL) program and/or the Paycheck Protection Program (PPP). Outstanding balances or loan terms from these programs can directly affect the mechanics, timing, and net proceeds of a practice sale, and are frequently overlooked until late in a transaction.</w:t>
      </w:r>
    </w:p>
    <w:p>
      <w:pPr>
        <w:pStyle w:val="Heading2"/>
        <w:spacing w:after="120" w:before="260"/>
      </w:pPr>
      <w:r>
        <w:t xml:space="preserve">PPP Loans</w:t>
      </w:r>
    </w:p>
    <w:p>
      <w:pPr>
        <w:spacing w:after="140"/>
      </w:pPr>
      <w:r>
        <w:t xml:space="preserve">Where a PPP loan was forgiven — the outcome for most compliant borrowers — there is no remaining liability to address in a sale. Where a PPP loan was not forgiven, it is outstanding business debt and must be resolved like any other loan at or before closing.</w:t>
      </w:r>
    </w:p>
    <w:p>
      <w:pPr>
        <w:pStyle w:val="Heading2"/>
        <w:spacing w:after="120" w:before="260"/>
      </w:pPr>
      <w:r>
        <w:t xml:space="preserve">EIDL Loans Are the Bigger Issue</w:t>
      </w:r>
    </w:p>
    <w:p>
      <w:pPr>
        <w:pStyle w:val="ListParagraph"/>
        <w:numPr>
          <w:ilvl w:val="0"/>
          <w:numId w:val="1"/>
        </w:numPr>
        <w:spacing w:after="80"/>
      </w:pPr>
      <w:r>
        <w:t xml:space="preserve">UCC lien on business assets: EIDL loans above a certain size come with a UCC-filed lien on business assets — often including equipment, receivables, and general intangibles, which can extend to goodwill. A buyer's attorney or lender will run a lien search and find this; assets generally cannot transfer free and clear until the lien is released.</w:t>
      </w:r>
    </w:p>
    <w:p>
      <w:pPr>
        <w:pStyle w:val="ListParagraph"/>
        <w:numPr>
          <w:ilvl w:val="0"/>
          <w:numId w:val="1"/>
        </w:numPr>
        <w:spacing w:after="80"/>
      </w:pPr>
      <w:r>
        <w:t xml:space="preserve">Personal guarantee: larger EIDL loans (and, in practice, many smaller ones for sole proprietors and single-member entities) required a personal guarantee from the practitioner. That personal liability does not disappear at the closing table — it remains with the seller unless the loan is paid off or the guarantee is formally released by SBA.</w:t>
      </w:r>
    </w:p>
    <w:p>
      <w:pPr>
        <w:pStyle w:val="ListParagraph"/>
        <w:numPr>
          <w:ilvl w:val="0"/>
          <w:numId w:val="1"/>
        </w:numPr>
        <w:spacing w:after="80"/>
      </w:pPr>
      <w:r>
        <w:t xml:space="preserve">SBA change-of-ownership requirements: SBA rules require notice to, and in some circumstances prior approval from, SBA or the loan's servicing lender before completing a sale, an asset transfer, or a significant change in ownership percentage. This can also apply to an internal associate buy-in that shifts ownership past a certain threshold, not only to a sale to an outside buyer.</w:t>
      </w:r>
    </w:p>
    <w:tbl>
      <w:tblPr>
        <w:tblW w:type="pct" w:w="100%"/>
        <w:tblBorders>
          <w:top w:val="single" w:color="1B6E6E" w:sz="4"/>
          <w:left w:val="single" w:color="1B6E6E" w:sz="4"/>
          <w:bottom w:val="single" w:color="1B6E6E" w:sz="4"/>
          <w:right w:val="single" w:color="1B6E6E" w:sz="4"/>
          <w:insideH w:val="none" w:color="FFFFFF" w:sz="0"/>
          <w:insideV w:val="none" w:color="FFFFFF" w:sz="0"/>
        </w:tblBorders>
      </w:tblPr>
      <w:tblGrid>
        <w:gridCol w:w="100"/>
      </w:tblGrid>
      <w:tr>
        <w:tc>
          <w:tcPr>
            <w:tcW w:type="pct" w:w="100%"/>
            <w:shd w:fill="E8F1F1" w:val="clear"/>
            <w:tcMar>
              <w:top w:type="dxa" w:w="150"/>
              <w:left w:type="dxa" w:w="200"/>
              <w:bottom w:type="dxa" w:w="150"/>
              <w:right w:type="dxa" w:w="200"/>
            </w:tcMar>
          </w:tcPr>
          <w:p>
            <w:pPr>
              <w:spacing w:after="80"/>
            </w:pPr>
            <w:r>
              <w:rPr>
                <w:b/>
                <w:bCs/>
                <w:color w:val="1F3864"/>
                <w:sz w:val="22"/>
                <w:szCs w:val="22"/>
              </w:rPr>
              <w:t xml:space="preserve">Practical Steps for Sellers with Outstanding EIDL Debt</w:t>
            </w:r>
          </w:p>
          <w:p>
            <w:pPr>
              <w:spacing w:after="40"/>
            </w:pPr>
            <w:r>
              <w:rPr>
                <w:sz w:val="20"/>
                <w:szCs w:val="20"/>
              </w:rPr>
              <w:t xml:space="preserve">• Request an official payoff quote from SBA or the servicing lender early — well before entering closing — since processing a payoff and lien release takes real time.</w:t>
            </w:r>
          </w:p>
          <w:p>
            <w:pPr>
              <w:spacing w:after="40"/>
            </w:pPr>
            <w:r>
              <w:rPr>
                <w:sz w:val="20"/>
                <w:szCs w:val="20"/>
              </w:rPr>
              <w:t xml:space="preserve">• Plan for sale proceeds to pay off the EIDL balance at closing in most cases, which releases the lien and the personal guarantee but reduces net proceeds actually received.</w:t>
            </w:r>
          </w:p>
          <w:p>
            <w:pPr>
              <w:spacing w:after="40"/>
            </w:pPr>
            <w:r>
              <w:rPr>
                <w:sz w:val="20"/>
                <w:szCs w:val="20"/>
              </w:rPr>
              <w:t xml:space="preserve">• Confirm whether the transaction (including a partial ownership transfer via an associate buy-in) triggers SBA's change-of-ownership notice or approval requirements before signing any agreement.</w:t>
            </w:r>
          </w:p>
          <w:p>
            <w:pPr>
              <w:spacing w:after="40"/>
            </w:pPr>
            <w:r>
              <w:rPr>
                <w:sz w:val="20"/>
                <w:szCs w:val="20"/>
              </w:rPr>
              <w:t xml:space="preserve">• If a buyer is separately financing the purchase with an SBA loan of their own, expect their lender to require a clean lien search and full resolution of the seller's existing EIDL debt as a condition of closing.</w:t>
            </w:r>
          </w:p>
          <w:p>
            <w:pPr>
              <w:spacing w:after="40"/>
            </w:pPr>
            <w:r>
              <w:rPr>
                <w:sz w:val="20"/>
                <w:szCs w:val="20"/>
              </w:rPr>
              <w:t xml:space="preserve">• Loop in an attorney and accountant familiar with SBA COVID-era loan terms — skipping this step is one of the most common ways a practice sale is delayed or falls apart late in the process.</w:t>
            </w:r>
          </w:p>
        </w:tc>
      </w:tr>
    </w:tbl>
    <w:p>
      <w:pPr>
        <w:pStyle w:val="Heading1"/>
        <w:spacing w:after="180" w:before="400"/>
      </w:pPr>
      <w:r>
        <w:t xml:space="preserve">Considerations Specific to Acupuncture Practices</w:t>
      </w:r>
    </w:p>
    <w:p>
      <w:pPr>
        <w:pStyle w:val="Heading2"/>
        <w:spacing w:after="120" w:before="260"/>
      </w:pPr>
      <w:r>
        <w:t xml:space="preserve">Licensure Does Not Transfer</w:t>
      </w:r>
    </w:p>
    <w:p>
      <w:pPr>
        <w:spacing w:after="140"/>
      </w:pPr>
      <w:r>
        <w:t xml:space="preserve">A buyer must hold their own independent license, NCCAOM certification (where applicable), and any required state credentials. What is sold is not the right to practice, but the goodwill, patient relationships, brand, equipment, lease, and systems of the practice.</w:t>
      </w:r>
    </w:p>
    <w:p>
      <w:pPr>
        <w:pStyle w:val="Heading2"/>
        <w:spacing w:after="120" w:before="260"/>
      </w:pPr>
      <w:r>
        <w:t xml:space="preserve">Insurance Credentialing Is Not Transferable</w:t>
      </w:r>
    </w:p>
    <w:p>
      <w:pPr>
        <w:spacing w:after="140"/>
      </w:pPr>
      <w:r>
        <w:t xml:space="preserve">A buyer must independently apply for and be approved for in-network status with each payer; this process can take months and creates a real transition gap for insurance-dependent practices. Cash-pay practices, or practices that clearly document the credentialing timeline and plan for it, transfer more smoothly.</w:t>
      </w:r>
    </w:p>
    <w:p>
      <w:pPr>
        <w:pStyle w:val="Heading2"/>
        <w:spacing w:after="120" w:before="260"/>
      </w:pPr>
      <w:r>
        <w:t xml:space="preserve">Patient Records and Notice Requirements</w:t>
      </w:r>
    </w:p>
    <w:p>
      <w:pPr>
        <w:spacing w:after="140"/>
      </w:pPr>
      <w:r>
        <w:t xml:space="preserve">Most states require that patients receive notice of a change in ownership or provider and be given a reasonable opportunity to obtain copies of their records or select a different provider, consistent with state board rules and HIPAA. Patient records generally cannot simply be handed to a buyer without this notice process; practitioners should confirm the specific notice and consent requirements in their state before finalizing any transition.</w:t>
      </w:r>
    </w:p>
    <w:p>
      <w:pPr>
        <w:pStyle w:val="Heading2"/>
        <w:spacing w:after="120" w:before="260"/>
      </w:pPr>
      <w:r>
        <w:t xml:space="preserve">Non-Compete and Restrictive Covenant Enforceability Varies Widely</w:t>
      </w:r>
    </w:p>
    <w:p>
      <w:pPr>
        <w:spacing w:after="140"/>
      </w:pPr>
      <w:r>
        <w:t xml:space="preserve">Some states significantly restrict or void non-compete agreements for healthcare practitioners, or apply special rules to them; enforceability, permissible geographic scope, and duration vary state by state and are an active area of legal change. Any restrictive covenant in a sale or associate agreement should be reviewed by an attorney licensed in the relevant state before signing.</w:t>
      </w:r>
    </w:p>
    <w:p>
      <w:pPr>
        <w:pStyle w:val="Heading2"/>
        <w:spacing w:after="120" w:before="260"/>
      </w:pPr>
      <w:r>
        <w:t xml:space="preserve">Owner-Dependent Modalities and Personal Reputation</w:t>
      </w:r>
    </w:p>
    <w:p>
      <w:pPr>
        <w:spacing w:after="140"/>
      </w:pPr>
      <w:r>
        <w:t xml:space="preserve">Acupuncture is a highly relational, hands-on practice; patient trust is often built specifically with the treating practitioner. Deliberately building an associate's independent following, diversifying referral sources, and documenting treatment protocols years in advance are the most effective ways to reduce this dependency before a sale.</w:t>
      </w:r>
    </w:p>
    <w:p>
      <w:r>
        <w:br w:type="page"/>
      </w:r>
    </w:p>
    <w:p>
      <w:pPr>
        <w:pStyle w:val="Heading1"/>
        <w:spacing w:after="180" w:before="400"/>
      </w:pPr>
      <w:r>
        <w:t xml:space="preserve">Who Might Buy the Practice</w:t>
      </w:r>
    </w:p>
    <w:p>
      <w:pPr>
        <w:spacing w:after="140"/>
      </w:pPr>
      <w:r>
        <w:t xml:space="preserve">The buyer pool for an independent acupuncture practice is broader than most practitioners assume. In rough order of how common each type is in practice:</w:t>
      </w:r>
    </w:p>
    <w:p>
      <w:pPr>
        <w:pStyle w:val="Heading2"/>
        <w:spacing w:after="120" w:before="260"/>
      </w:pPr>
      <w:r>
        <w:t xml:space="preserve">Internal and Individual Buyers</w:t>
      </w:r>
    </w:p>
    <w:p>
      <w:pPr>
        <w:pStyle w:val="ListParagraph"/>
        <w:numPr>
          <w:ilvl w:val="0"/>
          <w:numId w:val="1"/>
        </w:numPr>
        <w:spacing w:after="80"/>
      </w:pPr>
      <w:r>
        <w:t xml:space="preserve">An existing associate already working in the practice — usually the smoothest transition, since patients already know them.</w:t>
      </w:r>
    </w:p>
    <w:p>
      <w:pPr>
        <w:pStyle w:val="ListParagraph"/>
        <w:numPr>
          <w:ilvl w:val="0"/>
          <w:numId w:val="1"/>
        </w:numPr>
        <w:spacing w:after="80"/>
      </w:pPr>
      <w:r>
        <w:t xml:space="preserve">Another independent acupuncturist locally seeking to expand to a second location.</w:t>
      </w:r>
    </w:p>
    <w:p>
      <w:pPr>
        <w:pStyle w:val="ListParagraph"/>
        <w:numPr>
          <w:ilvl w:val="0"/>
          <w:numId w:val="1"/>
        </w:numPr>
        <w:spacing w:after="80"/>
      </w:pPr>
      <w:r>
        <w:t xml:space="preserve">A practitioner relocating from out of town, or from out of the country. This is a real and growing segment, with one hard gate: the buyer must already hold, or be actively completing, an independent license in the practice's state. A buyer still mid-licensure is materially riskier and often needs a longer transition timeline or contingent deal terms. For international buyers specifically, immigration/work-authorization status is a separate threshold issue from professional licensure.</w:t>
      </w:r>
    </w:p>
    <w:p>
      <w:pPr>
        <w:pStyle w:val="ListParagraph"/>
        <w:numPr>
          <w:ilvl w:val="0"/>
          <w:numId w:val="1"/>
        </w:numPr>
        <w:spacing w:after="80"/>
      </w:pPr>
      <w:r>
        <w:t xml:space="preserve">A spouse or family member continuing the practice.</w:t>
      </w:r>
    </w:p>
    <w:p>
      <w:pPr>
        <w:pStyle w:val="Heading2"/>
        <w:spacing w:after="120" w:before="260"/>
      </w:pPr>
      <w:r>
        <w:t xml:space="preserve">Multi-Disciplinary and Integrative Clinics</w:t>
      </w:r>
    </w:p>
    <w:p>
      <w:pPr>
        <w:pStyle w:val="ListParagraph"/>
        <w:numPr>
          <w:ilvl w:val="0"/>
          <w:numId w:val="1"/>
        </w:numPr>
        <w:spacing w:after="80"/>
      </w:pPr>
      <w:r>
        <w:t xml:space="preserve">Chiropractic offices, physical therapy practices, medical spas, fertility clinics, and pain-management practices frequently acquire an established acupuncture patient base to add a service line, particularly where insurers increasingly cover acupuncture for pain and migraine.</w:t>
      </w:r>
    </w:p>
    <w:p>
      <w:pPr>
        <w:pStyle w:val="Heading2"/>
        <w:spacing w:after="120" w:before="260"/>
      </w:pPr>
      <w:r>
        <w:t xml:space="preserve">Medical Groups and Hospitals</w:t>
      </w:r>
    </w:p>
    <w:p>
      <w:pPr>
        <w:spacing w:after="140"/>
      </w:pPr>
      <w:r>
        <w:t xml:space="preserve">This does happen, but usually not as a straight practice purchase the way one acupuncturist buys another's practice. Academic medical centers, pain clinics, oncology-support programs, and integrative-medicine departments do sometimes acquire an acupuncture practice's goodwill, patient base, and equipment — but the more common structure is that the acupuncturist becomes an employee of the medical group or hospital, with a separate, often smaller asset-purchase component (equipment, lease, patient list) folded into the employment arrangement. Two things to flag with this buyer type: some states restrict non-physician ownership or control of a professional practice under "corporate practice of medicine"-type doctrines, which warrants attorney review in the practitioner's state; and if any physician referral relationships are involved, Stark Law and Anti-Kickback Statute considerations can apply. Due diligence with these buyers is typically slower and more document-intensive than with an individual buyer.</w:t>
      </w:r>
    </w:p>
    <w:p>
      <w:pPr>
        <w:pStyle w:val="Heading2"/>
        <w:spacing w:after="120" w:before="260"/>
      </w:pPr>
      <w:r>
        <w:t xml:space="preserve">Platform and Roll-Up Buyers</w:t>
      </w:r>
    </w:p>
    <w:p>
      <w:pPr>
        <w:spacing w:after="140"/>
      </w:pPr>
      <w:r>
        <w:t xml:space="preserve">Private-equity-backed wellness or integrative-medicine platforms and multi-location acupuncture groups are an emerging, though still comparatively small, category relative to the roll-up activity seen in dentistry, chiropractic, or physical therapy — worth watching but not yet the dominant buyer type in most markets.</w:t>
      </w:r>
    </w:p>
    <w:p>
      <w:pPr>
        <w:pStyle w:val="Heading2"/>
        <w:spacing w:after="120" w:before="260"/>
      </w:pPr>
      <w:r>
        <w:t xml:space="preserve">Community/Cooperative and Wind-Down Options</w:t>
      </w:r>
    </w:p>
    <w:p>
      <w:pPr>
        <w:pStyle w:val="ListParagraph"/>
        <w:numPr>
          <w:ilvl w:val="0"/>
          <w:numId w:val="1"/>
        </w:numPr>
        <w:spacing w:after="80"/>
      </w:pPr>
      <w:r>
        <w:t xml:space="preserve">A community-acupuncture cooperative or group practice model, in some markets.</w:t>
      </w:r>
    </w:p>
    <w:p>
      <w:pPr>
        <w:pStyle w:val="ListParagraph"/>
        <w:numPr>
          <w:ilvl w:val="0"/>
          <w:numId w:val="1"/>
        </w:numPr>
        <w:spacing w:after="80"/>
      </w:pPr>
      <w:r>
        <w:t xml:space="preserve">Orderly wind-down/closure with patient referrals to other providers, used when no viable buyer or successor emerges — this still carries the same patient-notice and records obligations described below as an actual sale.</w:t>
      </w:r>
    </w:p>
    <w:p>
      <w:pPr>
        <w:pStyle w:val="Heading2"/>
        <w:spacing w:after="120" w:before="260"/>
      </w:pPr>
      <w:r>
        <w:t xml:space="preserve">Common Deal Pathways</w:t>
      </w:r>
    </w:p>
    <w:p>
      <w:pPr>
        <w:pStyle w:val="ListParagraph"/>
        <w:numPr>
          <w:ilvl w:val="0"/>
          <w:numId w:val="1"/>
        </w:numPr>
        <w:spacing w:after="80"/>
      </w:pPr>
      <w:r>
        <w:t xml:space="preserve">Outright sale to another individual practitioner or an existing associate, either all at once or via a transition/consulting period.</w:t>
      </w:r>
    </w:p>
    <w:p>
      <w:pPr>
        <w:pStyle w:val="ListParagraph"/>
        <w:numPr>
          <w:ilvl w:val="0"/>
          <w:numId w:val="1"/>
        </w:numPr>
        <w:spacing w:after="80"/>
      </w:pPr>
      <w:r>
        <w:t xml:space="preserve">Gradual buy-in, where an associate purchases an increasing ownership stake over an agreed timeline, reducing transition risk for both parties.</w:t>
      </w:r>
    </w:p>
    <w:p>
      <w:pPr>
        <w:pStyle w:val="ListParagraph"/>
        <w:numPr>
          <w:ilvl w:val="0"/>
          <w:numId w:val="1"/>
        </w:numPr>
        <w:spacing w:after="80"/>
      </w:pPr>
      <w:r>
        <w:t xml:space="preserve">Merger with another practice or a multi-disciplinary clinic, often to gain scale, shared overhead, or complementary referral sources.</w:t>
      </w:r>
    </w:p>
    <w:p>
      <w:pPr>
        <w:pStyle w:val="Heading1"/>
        <w:spacing w:after="180" w:before="400"/>
      </w:pPr>
      <w:r>
        <w:t xml:space="preserve">Marketing the Sale</w:t>
      </w:r>
    </w:p>
    <w:p>
      <w:pPr>
        <w:pStyle w:val="ListParagraph"/>
        <w:numPr>
          <w:ilvl w:val="0"/>
          <w:numId w:val="1"/>
        </w:numPr>
        <w:spacing w:after="80"/>
      </w:pPr>
      <w:r>
        <w:t xml:space="preserve">Confidentiality first: most practitioners market a sale as a "blind" listing (no name or address disclosed) until a serious, NDA-bound prospect emerges, to avoid alarming patients or staff prematurely.</w:t>
      </w:r>
    </w:p>
    <w:p>
      <w:pPr>
        <w:pStyle w:val="ListParagraph"/>
        <w:numPr>
          <w:ilvl w:val="0"/>
          <w:numId w:val="1"/>
        </w:numPr>
        <w:spacing w:after="80"/>
      </w:pPr>
      <w:r>
        <w:t xml:space="preserve">Healthcare/practice brokers: a small number specialize in complementary or alternative-medicine and wellness practices; general medical-practice brokers sometimes take these engagements as well.</w:t>
      </w:r>
    </w:p>
    <w:p>
      <w:pPr>
        <w:pStyle w:val="ListParagraph"/>
        <w:numPr>
          <w:ilvl w:val="0"/>
          <w:numId w:val="1"/>
        </w:numPr>
        <w:spacing w:after="80"/>
      </w:pPr>
      <w:r>
        <w:t xml:space="preserve">Acupuncture school alumni networks and career boards: often the single best channel, since new graduates and associates are actively looking to buy in or take over a patient base.</w:t>
      </w:r>
    </w:p>
    <w:p>
      <w:pPr>
        <w:pStyle w:val="ListParagraph"/>
        <w:numPr>
          <w:ilvl w:val="0"/>
          <w:numId w:val="1"/>
        </w:numPr>
        <w:spacing w:after="80"/>
      </w:pPr>
      <w:r>
        <w:t xml:space="preserve">Professional associations: NGAOM and state association member classifieds and job/practice boards.</w:t>
      </w:r>
    </w:p>
    <w:p>
      <w:pPr>
        <w:pStyle w:val="ListParagraph"/>
        <w:numPr>
          <w:ilvl w:val="0"/>
          <w:numId w:val="1"/>
        </w:numPr>
        <w:spacing w:after="80"/>
      </w:pPr>
      <w:r>
        <w:t xml:space="preserve">Trade publications and newsletters.</w:t>
      </w:r>
    </w:p>
    <w:p>
      <w:pPr>
        <w:pStyle w:val="ListParagraph"/>
        <w:numPr>
          <w:ilvl w:val="0"/>
          <w:numId w:val="1"/>
        </w:numPr>
        <w:spacing w:after="80"/>
      </w:pPr>
      <w:r>
        <w:t xml:space="preserve">Direct outreach to nearby practice owners for a merger conversation, and to the practitioner's own referral network (chiropractors, physical therapists, physicians).</w:t>
      </w:r>
    </w:p>
    <w:p>
      <w:pPr>
        <w:pStyle w:val="ListParagraph"/>
        <w:numPr>
          <w:ilvl w:val="0"/>
          <w:numId w:val="1"/>
        </w:numPr>
        <w:spacing w:after="80"/>
      </w:pPr>
      <w:r>
        <w:t xml:space="preserve">Word of mouth through colleagues, which in practice remains one of the most trusted and common routes for a small clinical practice.</w:t>
      </w:r>
    </w:p>
    <w:p>
      <w:pPr>
        <w:pStyle w:val="Heading1"/>
        <w:spacing w:after="180" w:before="400"/>
      </w:pPr>
      <w:r>
        <w:t xml:space="preserve">Action Checklist: Start Building Transferable Value Today</w:t>
      </w:r>
    </w:p>
    <w:tbl>
      <w:tblPr>
        <w:tblW w:type="pct" w:w="100%"/>
        <w:tblBorders>
          <w:top w:val="single" w:color="1B6E6E" w:sz="4"/>
          <w:left w:val="single" w:color="1B6E6E" w:sz="4"/>
          <w:bottom w:val="single" w:color="1B6E6E" w:sz="4"/>
          <w:right w:val="single" w:color="1B6E6E" w:sz="4"/>
          <w:insideH w:val="none" w:color="FFFFFF" w:sz="0"/>
          <w:insideV w:val="none" w:color="FFFFFF" w:sz="0"/>
        </w:tblBorders>
      </w:tblPr>
      <w:tblGrid>
        <w:gridCol w:w="100"/>
      </w:tblGrid>
      <w:tr>
        <w:tc>
          <w:tcPr>
            <w:tcW w:type="pct" w:w="100%"/>
            <w:shd w:fill="E8F1F1" w:val="clear"/>
            <w:tcMar>
              <w:top w:type="dxa" w:w="150"/>
              <w:left w:type="dxa" w:w="200"/>
              <w:bottom w:type="dxa" w:w="150"/>
              <w:right w:type="dxa" w:w="200"/>
            </w:tcMar>
          </w:tcPr>
          <w:p>
            <w:pPr>
              <w:spacing w:after="80"/>
            </w:pPr>
            <w:r>
              <w:rPr>
                <w:b/>
                <w:bCs/>
                <w:color w:val="1F3864"/>
                <w:sz w:val="22"/>
                <w:szCs w:val="22"/>
              </w:rPr>
              <w:t xml:space="preserve">Do This Now, Regardless of Career Stage</w:t>
            </w:r>
          </w:p>
          <w:p>
            <w:pPr>
              <w:spacing w:after="40"/>
            </w:pPr>
            <w:r>
              <w:rPr>
                <w:sz w:val="20"/>
                <w:szCs w:val="20"/>
              </w:rPr>
              <w:t xml:space="preserve">• Keep clean, separate business financial records from day one — do not commingle personal and practice finances.</w:t>
            </w:r>
          </w:p>
          <w:p>
            <w:pPr>
              <w:spacing w:after="40"/>
            </w:pPr>
            <w:r>
              <w:rPr>
                <w:sz w:val="20"/>
                <w:szCs w:val="20"/>
              </w:rPr>
              <w:t xml:space="preserve">• Choose an EHR and documentation system built for transferability, not just personal convenience.</w:t>
            </w:r>
          </w:p>
          <w:p>
            <w:pPr>
              <w:spacing w:after="40"/>
            </w:pPr>
            <w:r>
              <w:rPr>
                <w:sz w:val="20"/>
                <w:szCs w:val="20"/>
              </w:rPr>
              <w:t xml:space="preserve">• Track new-patient sources and retention monthly.</w:t>
            </w:r>
          </w:p>
          <w:p>
            <w:pPr>
              <w:spacing w:after="40"/>
            </w:pPr>
            <w:r>
              <w:rPr>
                <w:sz w:val="20"/>
                <w:szCs w:val="20"/>
              </w:rPr>
              <w:t xml:space="preserve">• Diversify referral sources rather than relying on one dominant relationship.</w:t>
            </w:r>
          </w:p>
          <w:p>
            <w:pPr>
              <w:spacing w:after="40"/>
            </w:pPr>
            <w:r>
              <w:rPr>
                <w:sz w:val="20"/>
                <w:szCs w:val="20"/>
              </w:rPr>
              <w:t xml:space="preserve">• Review your lease's assignment clause before you need to use it.</w:t>
            </w:r>
          </w:p>
          <w:p>
            <w:pPr>
              <w:spacing w:after="40"/>
            </w:pPr>
            <w:r>
              <w:rPr>
                <w:sz w:val="20"/>
                <w:szCs w:val="20"/>
              </w:rPr>
              <w:t xml:space="preserve">• Revisit your entity structure and any partnership/buy-sell agreement with an attorney every few years.</w:t>
            </w:r>
          </w:p>
          <w:p>
            <w:pPr>
              <w:spacing w:after="40"/>
            </w:pPr>
            <w:r>
              <w:rPr>
                <w:sz w:val="20"/>
                <w:szCs w:val="20"/>
              </w:rPr>
              <w:t xml:space="preserve">• If you plan to bring on an associate, put the buy-in timeline and terms in writing early.</w:t>
            </w:r>
          </w:p>
          <w:p>
            <w:pPr>
              <w:spacing w:after="40"/>
            </w:pPr>
            <w:r>
              <w:rPr>
                <w:sz w:val="20"/>
                <w:szCs w:val="20"/>
              </w:rPr>
              <w:t xml:space="preserve">• Get a preliminary (informal) valuation well before you plan to transition, to see where the gaps are while you still have time to close them.</w:t>
            </w:r>
          </w:p>
        </w:tc>
      </w:tr>
    </w:tbl>
    <w:p>
      <w:pPr>
        <w:pStyle w:val="Heading1"/>
        <w:spacing w:after="180" w:before="400"/>
      </w:pPr>
      <w:r>
        <w:t xml:space="preserve">Next Steps and Professional Support</w:t>
      </w:r>
    </w:p>
    <w:p>
      <w:pPr>
        <w:spacing w:after="140"/>
      </w:pPr>
      <w:r>
        <w:t xml:space="preserve">This guide is intended to help practitioners start planning early and ask informed questions — it is not a substitute for individualized professional advice. Before making any decisions about valuing, selling, merging, or transitioning a practice, practitioners should engage:</w:t>
      </w:r>
    </w:p>
    <w:p>
      <w:pPr>
        <w:pStyle w:val="ListParagraph"/>
        <w:numPr>
          <w:ilvl w:val="0"/>
          <w:numId w:val="1"/>
        </w:numPr>
        <w:spacing w:after="80"/>
      </w:pPr>
      <w:r>
        <w:t xml:space="preserve">A certified business appraiser or valuation professional, ideally with healthcare or complementary/integrative-medicine experience.</w:t>
      </w:r>
    </w:p>
    <w:p>
      <w:pPr>
        <w:pStyle w:val="ListParagraph"/>
        <w:numPr>
          <w:ilvl w:val="0"/>
          <w:numId w:val="1"/>
        </w:numPr>
        <w:spacing w:after="80"/>
      </w:pPr>
      <w:r>
        <w:t xml:space="preserve">A healthcare or business attorney licensed in the practitioner's state, for entity structure, purchase/sale agreements, restrictive covenants, and patient-notice compliance.</w:t>
      </w:r>
    </w:p>
    <w:p>
      <w:pPr>
        <w:pStyle w:val="ListParagraph"/>
        <w:numPr>
          <w:ilvl w:val="0"/>
          <w:numId w:val="1"/>
        </w:numPr>
        <w:spacing w:after="80"/>
      </w:pPr>
      <w:r>
        <w:t xml:space="preserve">A CPA or tax advisor, for entity structure, deal structuring, and tax consequences of a sale, merger, or wind-down.</w:t>
      </w:r>
    </w:p>
    <w:p>
      <w:pPr>
        <w:spacing w:after="140"/>
      </w:pPr>
      <w:r>
        <w:t xml:space="preserve">NGAOM does not provide legal, tax, financial, or valuation advice, and this guide should not be relied upon as such. NGAOM members with questions about practice transition planning are encouraged to contact [NGAOM member resources / practice management committee contact information].</w:t>
      </w:r>
    </w:p>
    <w:p>
      <w:pPr>
        <w:spacing w:before="300"/>
      </w:pPr>
    </w:p>
    <w:p>
      <w:pPr>
        <w:pBdr>
          <w:top w:val="single" w:color="CCCCCC" w:sz="4" w:space="8"/>
        </w:pBdr>
      </w:pPr>
      <w:r>
        <w:rPr>
          <w:i/>
          <w:iCs/>
          <w:color w:val="888888"/>
          <w:sz w:val="18"/>
          <w:szCs w:val="18"/>
        </w:rPr>
        <w:t xml:space="preserve">© NGAOM. This document may be shared with NGAOM members and colleagues for educational purposes. Version: draft for practitioner review.</w:t>
      </w:r>
    </w:p>
    <w:sectPr>
      <w:headerReference w:type="default" r:id="rId7"/>
      <w:footerReference w:type="default" r:id="rId8"/>
      <w:pgSz w:w="12240" w:h="15840" w:orient="portrait"/>
      <w:pgMar w:top="1440" w:right="1350" w:bottom="144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Page </w:t>
    </w:r>
    <w:r>
      <w:rPr>
        <w:color w:val="888888"/>
        <w:sz w:val="16"/>
        <w:szCs w:val="16"/>
      </w:rPr>
      <w:fldChar w:fldCharType="begin"/>
      <w:instrText xml:space="preserve">PAGE</w:instrText>
      <w:fldChar w:fldCharType="separate"/>
      <w:fldChar w:fldCharType="end"/>
    </w:r>
    <w:r>
      <w:rPr>
        <w:color w:val="888888"/>
        <w:sz w:val="16"/>
        <w:szCs w:val="16"/>
      </w:rPr>
      <w:t xml:space="preserve"> of </w:t>
    </w:r>
    <w:r>
      <w:rPr>
        <w:color w:val="888888"/>
        <w:sz w:val="16"/>
        <w:szCs w:val="16"/>
      </w:rPr>
      <w:fldChar w:fldCharType="begin"/>
      <w:instrText xml:space="preserve">NUMPAGES</w:instrText>
      <w:fldChar w:fldCharType="separate"/>
      <w:fldChar w:fldCharType="end"/>
    </w:r>
    <w:r>
      <w:rPr>
        <w:color w:val="AAAAAA"/>
        <w:sz w:val="16"/>
        <w:szCs w:val="16"/>
      </w:rPr>
      <w:t xml:space="preserve">   ·   © NGAOM — Practitioner Resource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133350" cy="161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33350" cy="161925"/>
                  </a:xfrm>
                  <a:prstGeom prst="rect">
                    <a:avLst/>
                  </a:prstGeom>
                </pic:spPr>
              </pic:pic>
            </a:graphicData>
          </a:graphic>
        </wp:inline>
      </w:drawing>
    </w:r>
    <w:r>
      <w:rPr>
        <w:color w:val="888888"/>
        <w:sz w:val="16"/>
        <w:szCs w:val="16"/>
      </w:rPr>
      <w:t xml:space="preserve">  NGAOM  |  Practice Succession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pBdr>
        <w:bottom w:val="single" w:color="B8860B" w:sz="6" w:space="4"/>
      </w:pBdr>
      <w:spacing w:after="160" w:before="320"/>
    </w:pPr>
    <w:rPr>
      <w:b/>
      <w:bCs/>
      <w:color w:val="1F3864"/>
      <w:sz w:val="30"/>
      <w:szCs w:val="30"/>
    </w:rPr>
  </w:style>
  <w:style w:type="paragraph" w:styleId="Heading2">
    <w:name w:val="Heading 2"/>
    <w:basedOn w:val="Normal"/>
    <w:next w:val="Normal"/>
    <w:pPr>
      <w:spacing w:after="100" w:before="220"/>
    </w:pPr>
    <w:rPr>
      <w:b/>
      <w:bCs/>
      <w:color w:val="1B6E6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52db9cf0b06bd8f4578f286a7f87c7405a46668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e7cf8a4562f48a39b48fb120e4188989c3dea46.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2026-08-30T03:20:55.995Z</dcterms:created>
  <dcterms:modified xsi:type="dcterms:W3CDTF">2026-08-30T03:20:55.995Z</dcterms:modified>
</cp:coreProperties>
</file>

<file path=docProps/custom.xml><?xml version="1.0" encoding="utf-8"?>
<Properties xmlns="http://schemas.openxmlformats.org/officeDocument/2006/custom-properties" xmlns:vt="http://schemas.openxmlformats.org/officeDocument/2006/docPropsVTypes"/>
</file>