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drawing>
          <wp:inline distT="0" distB="0" distL="0" distR="0">
            <wp:extent cx="1047750" cy="1047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40"/>
        <w:jc w:val="center"/>
      </w:pPr>
      <w:r>
        <w:rPr>
          <w:b/>
          <w:bCs/>
          <w:color w:val="1F3D2B"/>
          <w:sz w:val="40"/>
          <w:szCs w:val="40"/>
        </w:rPr>
        <w:t xml:space="preserve">Jane App vs. Unified Practice</w:t>
      </w:r>
    </w:p>
    <w:p>
      <w:pPr>
        <w:spacing w:after="60"/>
        <w:jc w:val="center"/>
      </w:pPr>
      <w:r>
        <w:rPr>
          <w:color w:val="6B6F73"/>
          <w:sz w:val="22"/>
          <w:szCs w:val="22"/>
        </w:rPr>
        <w:t xml:space="preserve">A Practitioner-Facing EHR Comparison for Acupuncture &amp; Oriental Medicine Clinics</w:t>
      </w:r>
    </w:p>
    <w:p>
      <w:pPr>
        <w:spacing w:after="300"/>
        <w:jc w:val="center"/>
      </w:pPr>
      <w:r>
        <w:rPr>
          <w:i/>
          <w:iCs/>
          <w:color w:val="6B6F73"/>
          <w:sz w:val="18"/>
          <w:szCs w:val="18"/>
        </w:rPr>
        <w:t xml:space="preserve">Prepared for NGAOM members  |  August 30, 2026</w:t>
      </w:r>
    </w:p>
    <w:p>
      <w:pPr>
        <w:pBdr>
          <w:bottom w:val="single" w:color="2E5339" w:sz="6" w:space="4"/>
        </w:pBdr>
        <w:spacing w:after="140" w:before="320"/>
      </w:pPr>
      <w:r>
        <w:rPr>
          <w:b/>
          <w:bCs/>
          <w:color w:val="1F3D2B"/>
          <w:sz w:val="26"/>
          <w:szCs w:val="26"/>
        </w:rPr>
        <w:t xml:space="preserve">How to Read This Comparison</w:t>
      </w:r>
    </w:p>
    <w:p>
      <w:pPr>
        <w:spacing w:after="120" w:line="276"/>
      </w:pPr>
      <w:r>
        <w:rPr>
          <w:b w:val="false"/>
          <w:bCs w:val="false"/>
          <w:i w:val="false"/>
          <w:iCs w:val="false"/>
          <w:color w:val="222222"/>
          <w:sz w:val="20"/>
          <w:szCs w:val="20"/>
        </w:rPr>
        <w:t xml:space="preserve">This resource compares two of the leading EHR and practice-management platforms used by acupuncture and Oriental medicine practitioners: Jane App and Unified Practice. It combines a practitioner's first-hand clinical experience with both systems alongside independently published sources — including verified review platforms (Capterra, G2, Trustpilot), vendor documentation, and practitioner discussion communities such as Reddit and acupuncture-specific Facebook groups.</w:t>
      </w:r>
    </w:p>
    <w:p>
      <w:pPr>
        <w:spacing w:after="120" w:line="276"/>
      </w:pPr>
      <w:r>
        <w:rPr>
          <w:b w:val="false"/>
          <w:bCs w:val="false"/>
          <w:i/>
          <w:iCs/>
          <w:color w:val="222222"/>
          <w:sz w:val="19"/>
          <w:szCs w:val="19"/>
        </w:rPr>
        <w:t xml:space="preserve">A recurring theme in independent practitioner feedback is that Jane App is frequently favored for insurance-heavy caseloads (workers' compensation, commercial insurance, Veterans Affairs/CHAMPVA, and motor vehicle accident claims), while Unified Practice is frequently favored for its acupuncture-specific charting templates and TCM-native workflows (points, herbal formulas, tongue/pulse diagrams). Individual results vary by state, payer mix, and clinic size — practitioners are encouraged to trial both platforms directly before switching systems.</w:t>
      </w:r>
    </w:p>
    <w:p>
      <w:pPr>
        <w:pBdr>
          <w:bottom w:val="single" w:color="2E5339" w:sz="6" w:space="4"/>
        </w:pBdr>
        <w:spacing w:after="140" w:before="320"/>
      </w:pPr>
      <w:r>
        <w:rPr>
          <w:b/>
          <w:bCs/>
          <w:color w:val="1F3D2B"/>
          <w:sz w:val="26"/>
          <w:szCs w:val="26"/>
        </w:rPr>
        <w:t xml:space="preserve">At-a-Glance Snapshot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580"/>
        <w:gridCol w:w="3580"/>
      </w:tblGrid>
      <w:tr>
        <w:tc>
          <w:tcPr>
            <w:tcW w:type="dxa" w:w="2200"/>
            <w:shd w:fill="2E533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Category</w:t>
            </w:r>
          </w:p>
        </w:tc>
        <w:tc>
          <w:tcPr>
            <w:tcW w:type="dxa" w:w="3580"/>
            <w:shd w:fill="2E533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Jane App</w:t>
            </w:r>
          </w:p>
        </w:tc>
        <w:tc>
          <w:tcPr>
            <w:tcW w:type="dxa" w:w="3580"/>
            <w:shd w:fill="2E533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Unified Practice</w:t>
            </w:r>
          </w:p>
        </w:tc>
      </w:tr>
      <w:tr>
        <w:tc>
          <w:tcPr>
            <w:tcW w:type="dxa" w:w="2200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222222"/>
                <w:sz w:val="19"/>
                <w:szCs w:val="19"/>
              </w:rPr>
              <w:t xml:space="preserve">Built specifically for</w:t>
            </w:r>
          </w:p>
        </w:tc>
        <w:tc>
          <w:tcPr>
            <w:tcW w:type="dxa" w:w="3580"/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Multi-discipline allied health (PT, chiro, massage, acupuncture, counseling, etc.)</w:t>
            </w:r>
          </w:p>
        </w:tc>
        <w:tc>
          <w:tcPr>
            <w:tcW w:type="dxa" w:w="3580"/>
            <w:shd w:fill="E8EEE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1F3D2B"/>
                <w:sz w:val="19"/>
                <w:szCs w:val="19"/>
              </w:rPr>
              <w:t xml:space="preserve">Acupuncture &amp; TCM practitioners specifically</w:t>
            </w:r>
          </w:p>
        </w:tc>
      </w:tr>
      <w:tr>
        <w:tc>
          <w:tcPr>
            <w:tcW w:type="dxa" w:w="2200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222222"/>
                <w:sz w:val="19"/>
                <w:szCs w:val="19"/>
              </w:rPr>
              <w:t xml:space="preserve">Starting price (2026)</w:t>
            </w:r>
          </w:p>
        </w:tc>
        <w:tc>
          <w:tcPr>
            <w:tcW w:type="dxa" w:w="3580"/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$54–$99/mo (Balance/Practice/Thrive), plus per-practitioner seat fees on higher tiers</w:t>
            </w:r>
          </w:p>
        </w:tc>
        <w:tc>
          <w:tcPr>
            <w:tcW w:type="dxa" w:w="3580"/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Tiered practice-management pricing (contact vendor); positioned as an all-in-one, no per-feature paywall model</w:t>
            </w:r>
          </w:p>
        </w:tc>
      </w:tr>
      <w:tr>
        <w:tc>
          <w:tcPr>
            <w:tcW w:type="dxa" w:w="2200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222222"/>
                <w:sz w:val="19"/>
                <w:szCs w:val="19"/>
              </w:rPr>
              <w:t xml:space="preserve">AI charting assistant</w:t>
            </w:r>
          </w:p>
        </w:tc>
        <w:tc>
          <w:tcPr>
            <w:tcW w:type="dxa" w:w="3580"/>
            <w:shd w:fill="E8EEE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1F3D2B"/>
                <w:sz w:val="19"/>
                <w:szCs w:val="19"/>
              </w:rPr>
              <w:t xml:space="preserve">AI Scribe — built-in, records/dictates and drafts SOAP notes; $15/practitioner/mo for unlimited use (5 free notes/mo included)</w:t>
            </w:r>
          </w:p>
        </w:tc>
        <w:tc>
          <w:tcPr>
            <w:tcW w:type="dxa" w:w="3580"/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No comparably mature, native ambient AI scribe reported as of this writing</w:t>
            </w:r>
          </w:p>
        </w:tc>
      </w:tr>
      <w:tr>
        <w:tc>
          <w:tcPr>
            <w:tcW w:type="dxa" w:w="2200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222222"/>
                <w:sz w:val="19"/>
                <w:szCs w:val="19"/>
              </w:rPr>
              <w:t xml:space="preserve">Workers' comp billing</w:t>
            </w:r>
          </w:p>
        </w:tc>
        <w:tc>
          <w:tcPr>
            <w:tcW w:type="dxa" w:w="3580"/>
            <w:shd w:fill="E8EEE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1F3D2B"/>
                <w:sz w:val="19"/>
                <w:szCs w:val="19"/>
              </w:rPr>
              <w:t xml:space="preserve">Widely reported by practitioners as strong; supports the claim workflows adjusters expect</w:t>
            </w:r>
          </w:p>
        </w:tc>
        <w:tc>
          <w:tcPr>
            <w:tcW w:type="dxa" w:w="3580"/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Supports superbills/CMS-1500 generation; fewer independent reports specific to workers' comp workflows</w:t>
            </w:r>
          </w:p>
        </w:tc>
      </w:tr>
      <w:tr>
        <w:tc>
          <w:tcPr>
            <w:tcW w:type="dxa" w:w="2200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222222"/>
                <w:sz w:val="19"/>
                <w:szCs w:val="19"/>
              </w:rPr>
              <w:t xml:space="preserve">Commercial insurance billing &amp; verification</w:t>
            </w:r>
          </w:p>
        </w:tc>
        <w:tc>
          <w:tcPr>
            <w:tcW w:type="dxa" w:w="3580"/>
            <w:shd w:fill="E8EEE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1F3D2B"/>
                <w:sz w:val="19"/>
                <w:szCs w:val="19"/>
              </w:rPr>
              <w:t xml:space="preserve">Add-on Insurance Billing module ($20/mo); practitioners report smooth eligibility verification and claims</w:t>
            </w:r>
          </w:p>
        </w:tc>
        <w:tc>
          <w:tcPr>
            <w:tcW w:type="dxa" w:w="3580"/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Built-in billing tools (invoices, superbills, CMS-1500); insurance verification depth reported as more variable</w:t>
            </w:r>
          </w:p>
        </w:tc>
      </w:tr>
      <w:tr>
        <w:tc>
          <w:tcPr>
            <w:tcW w:type="dxa" w:w="2200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222222"/>
                <w:sz w:val="19"/>
                <w:szCs w:val="19"/>
              </w:rPr>
              <w:t xml:space="preserve">VA / CHAMPVA &amp; MVA claims</w:t>
            </w:r>
          </w:p>
        </w:tc>
        <w:tc>
          <w:tcPr>
            <w:tcW w:type="dxa" w:w="3580"/>
            <w:shd w:fill="E8EEE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1F3D2B"/>
                <w:sz w:val="19"/>
                <w:szCs w:val="19"/>
              </w:rPr>
              <w:t xml:space="preserve">Practitioner reports describe an easier claim-submission path for VA and motor-vehicle-accident cases</w:t>
            </w:r>
          </w:p>
        </w:tc>
        <w:tc>
          <w:tcPr>
            <w:tcW w:type="dxa" w:w="3580"/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Fewer independent practitioner reports specific to VA/CHAMPVA or MVA workflows</w:t>
            </w:r>
          </w:p>
        </w:tc>
      </w:tr>
      <w:tr>
        <w:tc>
          <w:tcPr>
            <w:tcW w:type="dxa" w:w="2200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222222"/>
                <w:sz w:val="19"/>
                <w:szCs w:val="19"/>
              </w:rPr>
              <w:t xml:space="preserve">TCM-native charting (points, formulas, tongue/pulse)</w:t>
            </w:r>
          </w:p>
        </w:tc>
        <w:tc>
          <w:tcPr>
            <w:tcW w:type="dxa" w:w="3580"/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General clinical charting; acupuncture-specific templates available via Jane's template library, built by the community rather than native</w:t>
            </w:r>
          </w:p>
        </w:tc>
        <w:tc>
          <w:tcPr>
            <w:tcW w:type="dxa" w:w="3580"/>
            <w:shd w:fill="E8EEE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1F3D2B"/>
                <w:sz w:val="19"/>
                <w:szCs w:val="19"/>
              </w:rPr>
              <w:t xml:space="preserve">Native TCM charting tools designed around acupuncture point/formula documentation</w:t>
            </w:r>
          </w:p>
        </w:tc>
      </w:tr>
      <w:tr>
        <w:tc>
          <w:tcPr>
            <w:tcW w:type="dxa" w:w="2200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222222"/>
                <w:sz w:val="19"/>
                <w:szCs w:val="19"/>
              </w:rPr>
              <w:t xml:space="preserve">Mobile app</w:t>
            </w:r>
          </w:p>
        </w:tc>
        <w:tc>
          <w:tcPr>
            <w:tcW w:type="dxa" w:w="3580"/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Separate client-facing app; practitioner scheduling via responsive web</w:t>
            </w:r>
          </w:p>
        </w:tc>
        <w:tc>
          <w:tcPr>
            <w:tcW w:type="dxa" w:w="3580"/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Native iPad/iPhone apps built for in-room charting (mixed app-store ratings)</w:t>
            </w:r>
          </w:p>
        </w:tc>
      </w:tr>
    </w:tbl>
    <w:p>
      <w:pPr>
        <w:spacing w:after="60" w:line="276"/>
      </w:pPr>
      <w:r>
        <w:rPr>
          <w:b w:val="false"/>
          <w:bCs w:val="false"/>
          <w:i/>
          <w:iCs/>
          <w:color w:val="6B6F73"/>
          <w:sz w:val="17"/>
          <w:szCs w:val="17"/>
        </w:rPr>
        <w:t xml:space="preserve">Green highlighting indicates the platform more frequently reported as the stronger option for that specific category, based on the sources below.</w:t>
      </w:r>
    </w:p>
    <w:p>
      <w:pPr>
        <w:pBdr>
          <w:bottom w:val="single" w:color="2E5339" w:sz="6" w:space="4"/>
        </w:pBdr>
        <w:spacing w:after="140" w:before="320"/>
      </w:pPr>
      <w:r>
        <w:rPr>
          <w:b/>
          <w:bCs/>
          <w:color w:val="1F3D2B"/>
          <w:sz w:val="26"/>
          <w:szCs w:val="26"/>
        </w:rPr>
        <w:t xml:space="preserve">Deep Dive: AI Scribe (Jane App)</w:t>
      </w:r>
    </w:p>
    <w:p>
      <w:pPr>
        <w:spacing w:after="120" w:line="276"/>
      </w:pPr>
      <w:r>
        <w:rPr>
          <w:b w:val="false"/>
          <w:bCs w:val="false"/>
          <w:i w:val="false"/>
          <w:iCs w:val="false"/>
          <w:color w:val="222222"/>
          <w:sz w:val="20"/>
          <w:szCs w:val="20"/>
        </w:rPr>
        <w:t xml:space="preserve">The practitioner feedback behind this document identifies Jane's AI Scribe as the single most impactful feature for daily workflow. Key points corroborated by Jane's own documentation and independent practitioner write-ups:</w:t>
      </w:r>
    </w:p>
    <w:p>
      <w:pPr>
        <w:pStyle w:val="ListParagraph"/>
        <w:numPr>
          <w:ilvl w:val="0"/>
          <w:numId w:val="2"/>
        </w:numPr>
        <w:spacing w:after="80" w:line="270"/>
      </w:pPr>
      <w:r>
        <w:rPr>
          <w:sz w:val="20"/>
          <w:szCs w:val="20"/>
        </w:rPr>
        <w:t xml:space="preserve">Records a live session or accepts dictation directly from the patient's chart, then drafts a structured SOAP note in the background while the practitioner continues working elsewhere in Jane.</w:t>
      </w:r>
    </w:p>
    <w:p>
      <w:pPr>
        <w:pStyle w:val="ListParagraph"/>
        <w:numPr>
          <w:ilvl w:val="0"/>
          <w:numId w:val="2"/>
        </w:numPr>
        <w:spacing w:after="80" w:line="270"/>
      </w:pPr>
      <w:r>
        <w:rPr>
          <w:sz w:val="20"/>
          <w:szCs w:val="20"/>
        </w:rPr>
        <w:t xml:space="preserve">Filters conversational, non-clinical dialogue out of the transcript so the resulting note stays clinically focused rather than reproducing the full conversation verbatim.</w:t>
      </w:r>
    </w:p>
    <w:p>
      <w:pPr>
        <w:pStyle w:val="ListParagraph"/>
        <w:numPr>
          <w:ilvl w:val="0"/>
          <w:numId w:val="2"/>
        </w:numPr>
        <w:spacing w:after="80" w:line="270"/>
      </w:pPr>
      <w:r>
        <w:rPr>
          <w:sz w:val="20"/>
          <w:szCs w:val="20"/>
        </w:rPr>
        <w:t xml:space="preserve">Fully customizable prompts and templates — practitioners can tune the output to include modality-specific language (e.g., point selection, needle technique, electrical stimulation parameters) and exclude findings that weren't actually mentioned.</w:t>
      </w:r>
    </w:p>
    <w:p>
      <w:pPr>
        <w:pStyle w:val="ListParagraph"/>
        <w:numPr>
          <w:ilvl w:val="0"/>
          <w:numId w:val="2"/>
        </w:numPr>
        <w:spacing w:after="80" w:line="270"/>
      </w:pPr>
      <w:r>
        <w:rPr>
          <w:sz w:val="20"/>
          <w:szCs w:val="20"/>
        </w:rPr>
        <w:t xml:space="preserve">Requires practitioner review and e-signature before the note saves to the chart — it compresses charting time rather than removing the review step entirely.</w:t>
      </w:r>
    </w:p>
    <w:p>
      <w:pPr>
        <w:pStyle w:val="ListParagraph"/>
        <w:numPr>
          <w:ilvl w:val="0"/>
          <w:numId w:val="2"/>
        </w:numPr>
        <w:spacing w:after="80" w:line="270"/>
      </w:pPr>
      <w:r>
        <w:rPr>
          <w:sz w:val="20"/>
          <w:szCs w:val="20"/>
        </w:rPr>
        <w:t xml:space="preserve">Priced at $15/practitioner/month for unlimited notes, with a 5-notes-per-month free tier for practitioners who want to trial it first.</w:t>
      </w:r>
    </w:p>
    <w:p>
      <w:pPr>
        <w:spacing w:after="120" w:line="276"/>
      </w:pPr>
      <w:r>
        <w:rPr>
          <w:b w:val="false"/>
          <w:bCs w:val="false"/>
          <w:i/>
          <w:iCs/>
          <w:color w:val="222222"/>
          <w:sz w:val="19"/>
          <w:szCs w:val="19"/>
        </w:rPr>
        <w:t xml:space="preserve">Net effect reported: faster same-day charting, quicker chart review, and capacity to see more patients per day without sacrificing note quality — consistent with the practitioner experience this comparison is built around.</w:t>
      </w:r>
    </w:p>
    <w:p>
      <w:pPr>
        <w:pBdr>
          <w:bottom w:val="single" w:color="2E5339" w:sz="6" w:space="4"/>
        </w:pBdr>
        <w:spacing w:after="140" w:before="320"/>
      </w:pPr>
      <w:r>
        <w:rPr>
          <w:b/>
          <w:bCs/>
          <w:color w:val="1F3D2B"/>
          <w:sz w:val="26"/>
          <w:szCs w:val="26"/>
        </w:rPr>
        <w:t xml:space="preserve">Deep Dive: Insurance, Workers' Comp, VA/CHAMPVA &amp; MVA Billing</w:t>
      </w:r>
    </w:p>
    <w:p>
      <w:pPr>
        <w:spacing w:after="120" w:line="276"/>
      </w:pPr>
      <w:r>
        <w:rPr>
          <w:b w:val="false"/>
          <w:bCs w:val="false"/>
          <w:i w:val="false"/>
          <w:iCs w:val="false"/>
          <w:color w:val="222222"/>
          <w:sz w:val="20"/>
          <w:szCs w:val="20"/>
        </w:rPr>
        <w:t xml:space="preserve">Both platforms generate superbills and CMS-1500 forms. The differentiation practitioners report most often centers on claim-submission friction and eligibility verification rather than raw feature checklists: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shd w:fill="2E533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Claim Type</w:t>
            </w:r>
          </w:p>
        </w:tc>
        <w:tc>
          <w:tcPr>
            <w:tcW w:type="dxa" w:w="3120"/>
            <w:shd w:fill="2E533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Jane App</w:t>
            </w:r>
          </w:p>
        </w:tc>
        <w:tc>
          <w:tcPr>
            <w:tcW w:type="dxa" w:w="3120"/>
            <w:shd w:fill="2E533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Unified Practice</w:t>
            </w:r>
          </w:p>
        </w:tc>
      </w:tr>
      <w:tr>
        <w:tc>
          <w:tcPr>
            <w:tcW w:type="dxa" w:w="3120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222222"/>
                <w:sz w:val="19"/>
                <w:szCs w:val="19"/>
              </w:rPr>
              <w:t xml:space="preserve">Regular commercial insurance</w:t>
            </w:r>
          </w:p>
        </w:tc>
        <w:tc>
          <w:tcPr>
            <w:tcW w:type="dxa" w:w="3120"/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Add-on module; real-time eligibility verification reported as reliable by users</w:t>
            </w:r>
          </w:p>
        </w:tc>
        <w:tc>
          <w:tcPr>
            <w:tcW w:type="dxa" w:w="3120"/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Native billing tools; verification workflow less frequently discussed in independent reviews</w:t>
            </w:r>
          </w:p>
        </w:tc>
      </w:tr>
      <w:tr>
        <w:tc>
          <w:tcPr>
            <w:tcW w:type="dxa" w:w="3120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222222"/>
                <w:sz w:val="19"/>
                <w:szCs w:val="19"/>
              </w:rPr>
              <w:t xml:space="preserve">Workers' compensation</w:t>
            </w:r>
          </w:p>
        </w:tc>
        <w:tc>
          <w:tcPr>
            <w:tcW w:type="dxa" w:w="3120"/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Frequently cited by practitioners as a strong fit for WC documentation and claim needs</w:t>
            </w:r>
          </w:p>
        </w:tc>
        <w:tc>
          <w:tcPr>
            <w:tcW w:type="dxa" w:w="3120"/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Supported via standard superbill/CMS-1500 generation; fewer WC-specific practitioner reports found</w:t>
            </w:r>
          </w:p>
        </w:tc>
      </w:tr>
      <w:tr>
        <w:tc>
          <w:tcPr>
            <w:tcW w:type="dxa" w:w="3120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222222"/>
                <w:sz w:val="19"/>
                <w:szCs w:val="19"/>
              </w:rPr>
              <w:t xml:space="preserve">Veterans Affairs / CHAMPVA</w:t>
            </w:r>
          </w:p>
        </w:tc>
        <w:tc>
          <w:tcPr>
            <w:tcW w:type="dxa" w:w="3120"/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Practitioner reports describe a smoother submission path; note that all VA/CHAMPVA billing still requires proper credentialing (VA Community Care Network via TriWest or Optum, or direct CHAMPVA enrollment) regardless of EHR</w:t>
            </w:r>
          </w:p>
        </w:tc>
        <w:tc>
          <w:tcPr>
            <w:tcW w:type="dxa" w:w="3120"/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Fewer independent practitioner reports specific to VA/CHAMPVA claim workflows</w:t>
            </w:r>
          </w:p>
        </w:tc>
      </w:tr>
      <w:tr>
        <w:tc>
          <w:tcPr>
            <w:tcW w:type="dxa" w:w="3120"/>
            <w:shd w:fill="F2F2F2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222222"/>
                <w:sz w:val="19"/>
                <w:szCs w:val="19"/>
              </w:rPr>
              <w:t xml:space="preserve">Motor vehicle accident (MVA/PIP)</w:t>
            </w:r>
          </w:p>
        </w:tc>
        <w:tc>
          <w:tcPr>
            <w:tcW w:type="dxa" w:w="3120"/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Practitioner reports describe easier documentation and submission for MVA cases</w:t>
            </w:r>
          </w:p>
        </w:tc>
        <w:tc>
          <w:tcPr>
            <w:tcW w:type="dxa" w:w="3120"/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Fewer independent practitioner reports specific to MVA/PIP workflows</w:t>
            </w:r>
          </w:p>
        </w:tc>
      </w:tr>
    </w:tbl>
    <w:p>
      <w:pPr>
        <w:spacing w:after="120" w:line="276"/>
      </w:pPr>
      <w:r>
        <w:rPr>
          <w:b w:val="false"/>
          <w:bCs w:val="false"/>
          <w:i/>
          <w:iCs/>
          <w:color w:val="6B6F73"/>
          <w:sz w:val="18"/>
          <w:szCs w:val="18"/>
        </w:rPr>
        <w:t xml:space="preserve">Note: Regardless of platform, VA and CHAMPVA billing require the practitioner to be separately credentialed with the relevant network (e.g., TriWest or Optum for VA Community Care, or direct CHAMPVA enrollment) — the EHR streamlines documentation and claims but does not replace credentialing.</w:t>
      </w:r>
    </w:p>
    <w:p>
      <w:pPr>
        <w:pBdr>
          <w:bottom w:val="single" w:color="2E5339" w:sz="6" w:space="4"/>
        </w:pBdr>
        <w:spacing w:after="140" w:before="320"/>
      </w:pPr>
      <w:r>
        <w:rPr>
          <w:b/>
          <w:bCs/>
          <w:color w:val="1F3D2B"/>
          <w:sz w:val="26"/>
          <w:szCs w:val="26"/>
        </w:rPr>
        <w:t xml:space="preserve">Independent Sources &amp; Practitioner Community Feedback</w:t>
      </w:r>
    </w:p>
    <w:p>
      <w:pPr>
        <w:spacing w:after="120" w:line="276"/>
      </w:pPr>
      <w:r>
        <w:rPr>
          <w:b w:val="false"/>
          <w:bCs w:val="false"/>
          <w:i w:val="false"/>
          <w:iCs w:val="false"/>
          <w:color w:val="222222"/>
          <w:sz w:val="20"/>
          <w:szCs w:val="20"/>
        </w:rPr>
        <w:t xml:space="preserve">This comparison draws on the following categories of independent sources in addition to first-hand practitioner experience:</w:t>
      </w:r>
    </w:p>
    <w:p>
      <w:pPr>
        <w:pStyle w:val="ListParagraph"/>
        <w:numPr>
          <w:ilvl w:val="0"/>
          <w:numId w:val="2"/>
        </w:numPr>
        <w:spacing w:after="80" w:line="270"/>
      </w:pPr>
      <w:r>
        <w:rPr>
          <w:sz w:val="20"/>
          <w:szCs w:val="20"/>
        </w:rPr>
        <w:t xml:space="preserve">Verified review platforms: Capterra and G2 comparison pages for Jane App and Unified Practice, including practitioner-submitted pros/cons.</w:t>
      </w:r>
    </w:p>
    <w:p>
      <w:pPr>
        <w:pStyle w:val="ListParagraph"/>
        <w:numPr>
          <w:ilvl w:val="0"/>
          <w:numId w:val="2"/>
        </w:numPr>
        <w:spacing w:after="80" w:line="270"/>
      </w:pPr>
      <w:r>
        <w:rPr>
          <w:sz w:val="20"/>
          <w:szCs w:val="20"/>
        </w:rPr>
        <w:t xml:space="preserve">Trustpilot reviews of Jane App, reflecting both practice-owner and end-user (patient) perspectives.</w:t>
      </w:r>
    </w:p>
    <w:p>
      <w:pPr>
        <w:pStyle w:val="ListParagraph"/>
        <w:numPr>
          <w:ilvl w:val="0"/>
          <w:numId w:val="2"/>
        </w:numPr>
        <w:spacing w:after="80" w:line="270"/>
      </w:pPr>
      <w:r>
        <w:rPr>
          <w:sz w:val="20"/>
          <w:szCs w:val="20"/>
        </w:rPr>
        <w:t xml:space="preserve">Vendor documentation for feature accuracy (Jane App AI Scribe guides, Unified Practice billing resources).</w:t>
      </w:r>
    </w:p>
    <w:p>
      <w:pPr>
        <w:pStyle w:val="ListParagraph"/>
        <w:numPr>
          <w:ilvl w:val="0"/>
          <w:numId w:val="2"/>
        </w:numPr>
        <w:spacing w:after="80" w:line="270"/>
      </w:pPr>
      <w:r>
        <w:rPr>
          <w:sz w:val="20"/>
          <w:szCs w:val="20"/>
        </w:rPr>
        <w:t xml:space="preserve">Practitioner discussion communities (Reddit acupuncture-related threads, acupuncture Facebook groups, and independent podcast interviews with practitioners who have used both systems) — used to identify recurring, independently corroborated themes rather than any single anecdote.</w:t>
      </w:r>
    </w:p>
    <w:p>
      <w:pPr>
        <w:spacing w:after="120" w:line="276"/>
      </w:pPr>
      <w:r>
        <w:rPr>
          <w:b w:val="false"/>
          <w:bCs w:val="false"/>
          <w:i/>
          <w:iCs/>
          <w:color w:val="6B6F73"/>
          <w:sz w:val="18"/>
          <w:szCs w:val="18"/>
        </w:rPr>
        <w:t xml:space="preserve">Where community sentiment could not be independently verified across multiple sources, it has been described as a “reported” or “frequently cited” pattern rather than presented as an established fact.</w:t>
      </w:r>
    </w:p>
    <w:p>
      <w:pPr>
        <w:pBdr>
          <w:bottom w:val="single" w:color="2E5339" w:sz="6" w:space="4"/>
        </w:pBdr>
        <w:spacing w:after="140" w:before="320"/>
      </w:pPr>
      <w:r>
        <w:rPr>
          <w:b/>
          <w:bCs/>
          <w:color w:val="1F3D2B"/>
          <w:sz w:val="26"/>
          <w:szCs w:val="26"/>
        </w:rPr>
        <w:t xml:space="preserve">Bottom Line for NGAOM Members</w:t>
      </w:r>
    </w:p>
    <w:p>
      <w:pPr>
        <w:spacing w:after="120" w:line="276"/>
      </w:pPr>
      <w:r>
        <w:rPr>
          <w:b w:val="false"/>
          <w:bCs w:val="false"/>
          <w:i w:val="false"/>
          <w:iCs w:val="false"/>
          <w:color w:val="222222"/>
          <w:sz w:val="20"/>
          <w:szCs w:val="20"/>
        </w:rPr>
        <w:t xml:space="preserve">For clinics with a substantial insurance, workers' compensation, VA/CHAMPVA, or motor vehicle accident caseload — and for practitioners who want to reduce charting time without sacrificing note quality — Jane App's AI Scribe and claims workflow are the most frequently cited differentiators in independent feedback. For clinics prioritizing acupuncture-native charting templates (point protocols, herbal formulas, tongue/pulse documentation) over insurance-claim volume, Unified Practice remains a purpose-built alternative worth evaluating.</w:t>
      </w:r>
    </w:p>
    <w:p>
      <w:pPr>
        <w:spacing w:after="120" w:line="276"/>
      </w:pPr>
      <w:r>
        <w:rPr>
          <w:b w:val="false"/>
          <w:bCs w:val="false"/>
          <w:i/>
          <w:iCs/>
          <w:color w:val="222222"/>
          <w:sz w:val="19"/>
          <w:szCs w:val="19"/>
        </w:rPr>
        <w:t xml:space="preserve">As with any practice-management decision, NGAOM recommends running a trial or demo of each platform with your own patient volume and payer mix before committing to a long-term contract.</w:t>
      </w:r>
    </w:p>
    <w:p>
      <w:pPr>
        <w:pBdr>
          <w:top w:val="single" w:color="CCCCCC" w:sz="4" w:space="4"/>
        </w:pBdr>
        <w:spacing w:before="300"/>
      </w:pPr>
      <w:r>
        <w:rPr>
          <w:i/>
          <w:iCs/>
          <w:color w:val="6B6F73"/>
          <w:sz w:val="16"/>
          <w:szCs w:val="16"/>
        </w:rPr>
        <w:t xml:space="preserve">This document is an informational aid for NGAOM members and does not constitute an endorsement of either platform by the National Guild of Acupuncture &amp; Oriental Medicine. Pricing and features are subject to change; verify current terms directly with each vendor.</w:t>
      </w:r>
    </w:p>
    <w:sectPr>
      <w:headerReference w:type="default" r:id="rId7"/>
      <w:footerReference w:type="default" r:id="rId8"/>
      <w:pgSz w:w="12240" w:h="15840" w:orient="portrait"/>
      <w:pgMar w:top="900" w:right="1440" w:bottom="9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B6F73"/>
        <w:sz w:val="16"/>
        <w:szCs w:val="16"/>
      </w:rPr>
      <w:t xml:space="preserve">National Guild of Acupuncture &amp; Oriental Medicine  •  Page </w:t>
    </w:r>
    <w:r>
      <w:rPr>
        <w:color w:val="6B6F73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CCCCC" w:sz="4" w:space="4"/>
      </w:pBdr>
      <w:jc w:val="right"/>
    </w:pPr>
    <w:r>
      <w:rPr>
        <w:color w:val="6B6F73"/>
        <w:sz w:val="16"/>
        <w:szCs w:val="16"/>
      </w:rPr>
      <w:t xml:space="preserve">NGAOM Practitioner Resource  |  EHR Comparison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aadd1ee0e3af092715f26de397b8ced8b85bf136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2026-08-30T04:07:35.950Z</dcterms:created>
  <dcterms:modified xsi:type="dcterms:W3CDTF">2026-08-30T04:07:35.950Z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