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p>
    <w:p>
      <w:pPr>
        <w:spacing w:before="280"/>
        <w:jc w:val="center"/>
      </w:pPr>
      <w:r>
        <w:rPr>
          <w:rFonts w:ascii="Aptos Display" w:hAnsi="Aptos Display"/>
          <w:b/>
          <w:color w:val="2E6B3A"/>
          <w:sz w:val="50"/>
        </w:rPr>
        <w:t>NGAOM National Acupuncture</w:t>
        <w:br/>
        <w:t>Mentorship Program</w:t>
      </w:r>
    </w:p>
    <w:p>
      <w:pPr>
        <w:jc w:val="center"/>
      </w:pPr>
      <w:r>
        <w:rPr>
          <w:i/>
          <w:color w:val="243126"/>
          <w:sz w:val="26"/>
        </w:rPr>
        <w:t>A nationwide bridge from acupuncture education to confident, ethical, sustainable practice</w:t>
      </w:r>
    </w:p>
    <w:tbl>
      <w:tblPr>
        <w:tblW w:type="auto" w:w="0"/>
        <w:jc w:val="center"/>
        <w:tblLook w:firstColumn="1" w:firstRow="1" w:lastColumn="0" w:lastRow="0" w:noHBand="0" w:noVBand="1" w:val="04A0"/>
      </w:tblPr>
      <w:tblGrid>
        <w:gridCol w:w="10080"/>
      </w:tblGrid>
      <w:tr>
        <w:tc>
          <w:tcPr>
            <w:tcW w:type="dxa" w:w="10080"/>
            <w:shd w:fill="EAF2EB"/>
            <w:tcMar>
              <w:top w:w="180" w:type="dxa"/>
              <w:start w:w="220" w:type="dxa"/>
              <w:bottom w:w="180" w:type="dxa"/>
              <w:end w:w="220" w:type="dxa"/>
            </w:tcMar>
          </w:tcPr>
          <w:p>
            <w:pPr>
              <w:jc w:val="center"/>
            </w:pPr>
            <w:r>
              <w:rPr>
                <w:b/>
                <w:color w:val="2E6B3A"/>
                <w:sz w:val="26"/>
              </w:rPr>
              <w:t>Long-established, successful licensed acupuncturists wanted as volunteer mentors</w:t>
            </w:r>
          </w:p>
          <w:p>
            <w:pPr>
              <w:jc w:val="center"/>
            </w:pPr>
            <w:r>
              <w:t>Serving senior students, recent graduates, and newly licensed practitioners through state-aware matching, practical guidance, professional community, and responsible boundaries.</w:t>
            </w:r>
          </w:p>
        </w:tc>
      </w:tr>
    </w:tbl>
    <w:p>
      <w:pPr>
        <w:spacing w:before="560"/>
        <w:jc w:val="center"/>
      </w:pPr>
      <w:r>
        <w:rPr>
          <w:b/>
        </w:rPr>
        <w:t>Working Draft for National Recruitment and School Outreach</w:t>
        <w:br/>
      </w:r>
      <w:r>
        <w:t>Prepared August 30, 2026</w:t>
      </w:r>
    </w:p>
    <w:tbl>
      <w:tblPr>
        <w:tblW w:type="auto" w:w="0"/>
        <w:jc w:val="center"/>
        <w:tblLook w:firstColumn="1" w:firstRow="1" w:lastColumn="0" w:lastRow="0" w:noHBand="0" w:noVBand="1" w:val="04A0"/>
      </w:tblPr>
      <w:tblGrid>
        <w:gridCol w:w="10080"/>
      </w:tblGrid>
      <w:tr>
        <w:tc>
          <w:tcPr>
            <w:tcW w:type="dxa" w:w="10080"/>
            <w:shd w:fill="EAF2EB"/>
            <w:tcMar>
              <w:top w:w="130" w:type="dxa"/>
              <w:start w:w="140" w:type="dxa"/>
              <w:bottom w:w="130" w:type="dxa"/>
              <w:end w:w="140" w:type="dxa"/>
            </w:tcMar>
          </w:tcPr>
          <w:p>
            <w:pPr>
              <w:spacing w:after="60"/>
            </w:pPr>
            <w:r>
              <w:rPr>
                <w:b/>
                <w:color w:val="2E6B3A"/>
              </w:rPr>
              <w:t xml:space="preserve">Core recommendation: </w:t>
            </w:r>
            <w:r>
              <w:t>Offer a 12-month relationship with weekly meetings during the first 3 months, twice-monthly meetings during months 4-6, and monthly meetings during months 7-12, plus limited nonurgent as-needed contact.</w:t>
            </w:r>
          </w:p>
        </w:tc>
      </w:tr>
    </w:tbl>
    <w:p>
      <w:pPr>
        <w:spacing w:after="0"/>
      </w:pPr>
    </w:p>
    <w:p>
      <w:r/>
    </w:p>
    <w:p>
      <w:pPr>
        <w:pStyle w:val="Heading1"/>
      </w:pPr>
      <w:r>
        <w:t>Contents</w:t>
      </w:r>
    </w:p>
    <w:p>
      <w:pPr>
        <w:pStyle w:val="ListBullet"/>
        <w:spacing w:after="50"/>
      </w:pPr>
      <w:r>
        <w:t>1. Purpose and program model</w:t>
      </w:r>
    </w:p>
    <w:p>
      <w:pPr>
        <w:pStyle w:val="ListBullet"/>
        <w:spacing w:after="50"/>
      </w:pPr>
      <w:r>
        <w:t>2. Who the program serves</w:t>
      </w:r>
    </w:p>
    <w:p>
      <w:pPr>
        <w:pStyle w:val="ListBullet"/>
        <w:spacing w:after="50"/>
      </w:pPr>
      <w:r>
        <w:t>3. Recommended term and time commitment</w:t>
      </w:r>
    </w:p>
    <w:p>
      <w:pPr>
        <w:pStyle w:val="ListBullet"/>
        <w:spacing w:after="50"/>
      </w:pPr>
      <w:r>
        <w:t>4. Mentor qualifications, duties, and boundaries</w:t>
      </w:r>
    </w:p>
    <w:p>
      <w:pPr>
        <w:pStyle w:val="ListBullet"/>
        <w:spacing w:after="50"/>
      </w:pPr>
      <w:r>
        <w:t>5. Mentee qualifications and duties</w:t>
      </w:r>
    </w:p>
    <w:p>
      <w:pPr>
        <w:pStyle w:val="ListBullet"/>
        <w:spacing w:after="50"/>
      </w:pPr>
      <w:r>
        <w:t>6. State-by-state matching</w:t>
      </w:r>
    </w:p>
    <w:p>
      <w:pPr>
        <w:pStyle w:val="ListBullet"/>
        <w:spacing w:after="50"/>
      </w:pPr>
      <w:r>
        <w:t>7. Curriculum and meeting format</w:t>
      </w:r>
    </w:p>
    <w:p>
      <w:pPr>
        <w:pStyle w:val="ListBullet"/>
        <w:spacing w:after="50"/>
      </w:pPr>
      <w:r>
        <w:t>8. Student and school partnerships</w:t>
      </w:r>
    </w:p>
    <w:p>
      <w:pPr>
        <w:pStyle w:val="ListBullet"/>
        <w:spacing w:after="50"/>
      </w:pPr>
      <w:r>
        <w:t>9. Ethics, privacy, risk, and program safeguards</w:t>
      </w:r>
    </w:p>
    <w:p>
      <w:pPr>
        <w:pStyle w:val="ListBullet"/>
        <w:spacing w:after="50"/>
      </w:pPr>
      <w:r>
        <w:t>10. Administration and evaluation</w:t>
      </w:r>
    </w:p>
    <w:p>
      <w:pPr>
        <w:pStyle w:val="ListBullet"/>
        <w:spacing w:after="50"/>
      </w:pPr>
      <w:r>
        <w:t>11. Ready-to-use forms and agreements</w:t>
      </w:r>
    </w:p>
    <w:p>
      <w:pPr>
        <w:pStyle w:val="ListBullet"/>
        <w:spacing w:after="50"/>
      </w:pPr>
      <w:r>
        <w:t>12. Recruitment and outreach language</w:t>
      </w:r>
    </w:p>
    <w:p>
      <w:pPr>
        <w:pStyle w:val="ListBullet"/>
        <w:spacing w:after="50"/>
      </w:pPr>
      <w:r>
        <w:t>Appendix A. Current ACAHM-accredited/pre-accredited institutions</w:t>
      </w:r>
    </w:p>
    <w:p>
      <w:pPr>
        <w:pStyle w:val="ListBullet"/>
        <w:spacing w:after="50"/>
      </w:pPr>
      <w:r>
        <w:t>Appendix B. Sources and living links</w:t>
      </w:r>
    </w:p>
    <w:p>
      <w:pPr>
        <w:pStyle w:val="Heading1"/>
      </w:pPr>
      <w:r>
        <w:t>At a glance</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448"/>
            <w:vAlign w:val="center"/>
            <w:tcMar>
              <w:top w:w="80" w:type="dxa"/>
              <w:start w:w="90" w:type="dxa"/>
              <w:bottom w:w="80" w:type="dxa"/>
              <w:end w:w="90" w:type="dxa"/>
            </w:tcMar>
            <w:shd w:fill="2E6B3A"/>
          </w:tcPr>
          <w:p>
            <w:pPr>
              <w:spacing w:after="40" w:before="20"/>
            </w:pPr>
            <w:r>
              <w:rPr>
                <w:rFonts w:ascii="Aptos" w:hAnsi="Aptos"/>
                <w:b/>
                <w:color w:val="FFFFFF"/>
                <w:sz w:val="18"/>
              </w:rPr>
              <w:t>Program element</w:t>
            </w:r>
          </w:p>
        </w:tc>
        <w:tc>
          <w:tcPr>
            <w:tcW w:type="dxa" w:w="7632"/>
            <w:vAlign w:val="center"/>
            <w:tcMar>
              <w:top w:w="80" w:type="dxa"/>
              <w:start w:w="90" w:type="dxa"/>
              <w:bottom w:w="80" w:type="dxa"/>
              <w:end w:w="90" w:type="dxa"/>
            </w:tcMar>
            <w:shd w:fill="2E6B3A"/>
          </w:tcPr>
          <w:p>
            <w:pPr>
              <w:spacing w:after="40" w:before="20"/>
            </w:pPr>
            <w:r>
              <w:rPr>
                <w:rFonts w:ascii="Aptos" w:hAnsi="Aptos"/>
                <w:b/>
                <w:color w:val="FFFFFF"/>
                <w:sz w:val="18"/>
              </w:rPr>
              <w:t>Recommended design</w:t>
            </w:r>
          </w:p>
        </w:tc>
      </w:tr>
      <w:tr>
        <w:tc>
          <w:tcPr>
            <w:tcW w:type="dxa" w:w="2448"/>
            <w:vAlign w:val="center"/>
            <w:tcMar>
              <w:top w:w="80" w:type="dxa"/>
              <w:start w:w="90" w:type="dxa"/>
              <w:bottom w:w="80" w:type="dxa"/>
              <w:end w:w="90" w:type="dxa"/>
            </w:tcMar>
          </w:tcPr>
          <w:p>
            <w:pPr>
              <w:spacing w:after="40" w:before="20"/>
            </w:pPr>
            <w:r>
              <w:rPr>
                <w:rFonts w:ascii="Aptos" w:hAnsi="Aptos"/>
                <w:sz w:val="18"/>
              </w:rPr>
              <w:t>Primary track</w:t>
            </w:r>
          </w:p>
        </w:tc>
        <w:tc>
          <w:tcPr>
            <w:tcW w:type="dxa" w:w="7632"/>
            <w:vAlign w:val="center"/>
            <w:tcMar>
              <w:top w:w="80" w:type="dxa"/>
              <w:start w:w="90" w:type="dxa"/>
              <w:bottom w:w="80" w:type="dxa"/>
              <w:end w:w="90" w:type="dxa"/>
            </w:tcMar>
          </w:tcPr>
          <w:p>
            <w:pPr>
              <w:spacing w:after="40" w:before="20"/>
            </w:pPr>
            <w:r>
              <w:rPr>
                <w:rFonts w:ascii="Aptos" w:hAnsi="Aptos"/>
                <w:sz w:val="18"/>
              </w:rPr>
              <w:t>12-month mentorship for acupuncturists in their first 0-3 years of licensed practice</w:t>
            </w:r>
          </w:p>
        </w:tc>
      </w:tr>
      <w:tr>
        <w:tc>
          <w:tcPr>
            <w:tcW w:type="dxa" w:w="2448"/>
            <w:vAlign w:val="center"/>
            <w:tcMar>
              <w:top w:w="80" w:type="dxa"/>
              <w:start w:w="90" w:type="dxa"/>
              <w:bottom w:w="80" w:type="dxa"/>
              <w:end w:w="90" w:type="dxa"/>
            </w:tcMar>
            <w:shd w:fill="F6F8F6"/>
          </w:tcPr>
          <w:p>
            <w:pPr>
              <w:spacing w:after="40" w:before="20"/>
            </w:pPr>
            <w:r>
              <w:rPr>
                <w:rFonts w:ascii="Aptos" w:hAnsi="Aptos"/>
                <w:sz w:val="18"/>
              </w:rPr>
              <w:t>Student bridge</w:t>
            </w:r>
          </w:p>
        </w:tc>
        <w:tc>
          <w:tcPr>
            <w:tcW w:type="dxa" w:w="7632"/>
            <w:vAlign w:val="center"/>
            <w:tcMar>
              <w:top w:w="80" w:type="dxa"/>
              <w:start w:w="90" w:type="dxa"/>
              <w:bottom w:w="80" w:type="dxa"/>
              <w:end w:w="90" w:type="dxa"/>
            </w:tcMar>
            <w:shd w:fill="F6F8F6"/>
          </w:tcPr>
          <w:p>
            <w:pPr>
              <w:spacing w:after="40" w:before="20"/>
            </w:pPr>
            <w:r>
              <w:rPr>
                <w:rFonts w:ascii="Aptos" w:hAnsi="Aptos"/>
                <w:sz w:val="18"/>
              </w:rPr>
              <w:t>6-month career and professional-readiness mentoring for final-year students; no hands-on clinical work unless formally authorized</w:t>
            </w:r>
          </w:p>
        </w:tc>
      </w:tr>
      <w:tr>
        <w:tc>
          <w:tcPr>
            <w:tcW w:type="dxa" w:w="2448"/>
            <w:vAlign w:val="center"/>
            <w:tcMar>
              <w:top w:w="80" w:type="dxa"/>
              <w:start w:w="90" w:type="dxa"/>
              <w:bottom w:w="80" w:type="dxa"/>
              <w:end w:w="90" w:type="dxa"/>
            </w:tcMar>
          </w:tcPr>
          <w:p>
            <w:pPr>
              <w:spacing w:after="40" w:before="20"/>
            </w:pPr>
            <w:r>
              <w:rPr>
                <w:rFonts w:ascii="Aptos" w:hAnsi="Aptos"/>
                <w:sz w:val="18"/>
              </w:rPr>
              <w:t>Cadence</w:t>
            </w:r>
          </w:p>
        </w:tc>
        <w:tc>
          <w:tcPr>
            <w:tcW w:type="dxa" w:w="7632"/>
            <w:vAlign w:val="center"/>
            <w:tcMar>
              <w:top w:w="80" w:type="dxa"/>
              <w:start w:w="90" w:type="dxa"/>
              <w:bottom w:w="80" w:type="dxa"/>
              <w:end w:w="90" w:type="dxa"/>
            </w:tcMar>
          </w:tcPr>
          <w:p>
            <w:pPr>
              <w:spacing w:after="40" w:before="20"/>
            </w:pPr>
            <w:r>
              <w:rPr>
                <w:rFonts w:ascii="Aptos" w:hAnsi="Aptos"/>
                <w:sz w:val="18"/>
              </w:rPr>
              <w:t>Months 1-3 weekly; months 4-6 twice monthly; months 7-12 monthly; limited nonurgent as-needed questions</w:t>
            </w:r>
          </w:p>
        </w:tc>
      </w:tr>
      <w:tr>
        <w:tc>
          <w:tcPr>
            <w:tcW w:type="dxa" w:w="2448"/>
            <w:vAlign w:val="center"/>
            <w:tcMar>
              <w:top w:w="80" w:type="dxa"/>
              <w:start w:w="90" w:type="dxa"/>
              <w:bottom w:w="80" w:type="dxa"/>
              <w:end w:w="90" w:type="dxa"/>
            </w:tcMar>
            <w:shd w:fill="F6F8F6"/>
          </w:tcPr>
          <w:p>
            <w:pPr>
              <w:spacing w:after="40" w:before="20"/>
            </w:pPr>
            <w:r>
              <w:rPr>
                <w:rFonts w:ascii="Aptos" w:hAnsi="Aptos"/>
                <w:sz w:val="18"/>
              </w:rPr>
              <w:t>Meeting length</w:t>
            </w:r>
          </w:p>
        </w:tc>
        <w:tc>
          <w:tcPr>
            <w:tcW w:type="dxa" w:w="7632"/>
            <w:vAlign w:val="center"/>
            <w:tcMar>
              <w:top w:w="80" w:type="dxa"/>
              <w:start w:w="90" w:type="dxa"/>
              <w:bottom w:w="80" w:type="dxa"/>
              <w:end w:w="90" w:type="dxa"/>
            </w:tcMar>
            <w:shd w:fill="F6F8F6"/>
          </w:tcPr>
          <w:p>
            <w:pPr>
              <w:spacing w:after="40" w:before="20"/>
            </w:pPr>
            <w:r>
              <w:rPr>
                <w:rFonts w:ascii="Aptos" w:hAnsi="Aptos"/>
                <w:sz w:val="18"/>
              </w:rPr>
              <w:t>45-60 minutes, normally by video or telephone; optional in-person observation under separate written safeguards</w:t>
            </w:r>
          </w:p>
        </w:tc>
      </w:tr>
      <w:tr>
        <w:tc>
          <w:tcPr>
            <w:tcW w:type="dxa" w:w="2448"/>
            <w:vAlign w:val="center"/>
            <w:tcMar>
              <w:top w:w="80" w:type="dxa"/>
              <w:start w:w="90" w:type="dxa"/>
              <w:bottom w:w="80" w:type="dxa"/>
              <w:end w:w="90" w:type="dxa"/>
            </w:tcMar>
          </w:tcPr>
          <w:p>
            <w:pPr>
              <w:spacing w:after="40" w:before="20"/>
            </w:pPr>
            <w:r>
              <w:rPr>
                <w:rFonts w:ascii="Aptos" w:hAnsi="Aptos"/>
                <w:sz w:val="18"/>
              </w:rPr>
              <w:t>Matching priority</w:t>
            </w:r>
          </w:p>
        </w:tc>
        <w:tc>
          <w:tcPr>
            <w:tcW w:type="dxa" w:w="7632"/>
            <w:vAlign w:val="center"/>
            <w:tcMar>
              <w:top w:w="80" w:type="dxa"/>
              <w:start w:w="90" w:type="dxa"/>
              <w:bottom w:w="80" w:type="dxa"/>
              <w:end w:w="90" w:type="dxa"/>
            </w:tcMar>
          </w:tcPr>
          <w:p>
            <w:pPr>
              <w:spacing w:after="40" w:before="20"/>
            </w:pPr>
            <w:r>
              <w:rPr>
                <w:rFonts w:ascii="Aptos" w:hAnsi="Aptos"/>
                <w:sz w:val="18"/>
              </w:rPr>
              <w:t>Same state first, then practice setting/specialty, goals, schedule, and personal compatibility</w:t>
            </w:r>
          </w:p>
        </w:tc>
      </w:tr>
      <w:tr>
        <w:tc>
          <w:tcPr>
            <w:tcW w:type="dxa" w:w="2448"/>
            <w:vAlign w:val="center"/>
            <w:tcMar>
              <w:top w:w="80" w:type="dxa"/>
              <w:start w:w="90" w:type="dxa"/>
              <w:bottom w:w="80" w:type="dxa"/>
              <w:end w:w="90" w:type="dxa"/>
            </w:tcMar>
            <w:shd w:fill="F6F8F6"/>
          </w:tcPr>
          <w:p>
            <w:pPr>
              <w:spacing w:after="40" w:before="20"/>
            </w:pPr>
            <w:r>
              <w:rPr>
                <w:rFonts w:ascii="Aptos" w:hAnsi="Aptos"/>
                <w:sz w:val="18"/>
              </w:rPr>
              <w:t>Mentor profile</w:t>
            </w:r>
          </w:p>
        </w:tc>
        <w:tc>
          <w:tcPr>
            <w:tcW w:type="dxa" w:w="7632"/>
            <w:vAlign w:val="center"/>
            <w:tcMar>
              <w:top w:w="80" w:type="dxa"/>
              <w:start w:w="90" w:type="dxa"/>
              <w:bottom w:w="80" w:type="dxa"/>
              <w:end w:w="90" w:type="dxa"/>
            </w:tcMar>
            <w:shd w:fill="F6F8F6"/>
          </w:tcPr>
          <w:p>
            <w:pPr>
              <w:spacing w:after="40" w:before="20"/>
            </w:pPr>
            <w:r>
              <w:rPr>
                <w:rFonts w:ascii="Aptos" w:hAnsi="Aptos"/>
                <w:sz w:val="18"/>
              </w:rPr>
              <w:t>Active unrestricted license, preferably 10+ years in practice, liability coverage, sound professional standing, and demonstrated practice stability</w:t>
            </w:r>
          </w:p>
        </w:tc>
      </w:tr>
      <w:tr>
        <w:tc>
          <w:tcPr>
            <w:tcW w:type="dxa" w:w="2448"/>
            <w:vAlign w:val="center"/>
            <w:tcMar>
              <w:top w:w="80" w:type="dxa"/>
              <w:start w:w="90" w:type="dxa"/>
              <w:bottom w:w="80" w:type="dxa"/>
              <w:end w:w="90" w:type="dxa"/>
            </w:tcMar>
          </w:tcPr>
          <w:p>
            <w:pPr>
              <w:spacing w:after="40" w:before="20"/>
            </w:pPr>
            <w:r>
              <w:rPr>
                <w:rFonts w:ascii="Aptos" w:hAnsi="Aptos"/>
                <w:sz w:val="18"/>
              </w:rPr>
              <w:t>Clinical boundary</w:t>
            </w:r>
          </w:p>
        </w:tc>
        <w:tc>
          <w:tcPr>
            <w:tcW w:type="dxa" w:w="7632"/>
            <w:vAlign w:val="center"/>
            <w:tcMar>
              <w:top w:w="80" w:type="dxa"/>
              <w:start w:w="90" w:type="dxa"/>
              <w:bottom w:w="80" w:type="dxa"/>
              <w:end w:w="90" w:type="dxa"/>
            </w:tcMar>
          </w:tcPr>
          <w:p>
            <w:pPr>
              <w:spacing w:after="40" w:before="20"/>
            </w:pPr>
            <w:r>
              <w:rPr>
                <w:rFonts w:ascii="Aptos" w:hAnsi="Aptos"/>
                <w:sz w:val="18"/>
              </w:rPr>
              <w:t>Mentorship is education and professional support, not patient care, supervision, legal advice, billing certification, or an emergency service</w:t>
            </w:r>
          </w:p>
        </w:tc>
      </w:tr>
      <w:tr>
        <w:tc>
          <w:tcPr>
            <w:tcW w:type="dxa" w:w="2448"/>
            <w:vAlign w:val="center"/>
            <w:tcMar>
              <w:top w:w="80" w:type="dxa"/>
              <w:start w:w="90" w:type="dxa"/>
              <w:bottom w:w="80" w:type="dxa"/>
              <w:end w:w="90" w:type="dxa"/>
            </w:tcMar>
            <w:shd w:fill="F6F8F6"/>
          </w:tcPr>
          <w:p>
            <w:pPr>
              <w:spacing w:after="40" w:before="20"/>
            </w:pPr>
            <w:r>
              <w:rPr>
                <w:rFonts w:ascii="Aptos" w:hAnsi="Aptos"/>
                <w:sz w:val="18"/>
              </w:rPr>
              <w:t>Estimated mentor time</w:t>
            </w:r>
          </w:p>
        </w:tc>
        <w:tc>
          <w:tcPr>
            <w:tcW w:type="dxa" w:w="7632"/>
            <w:vAlign w:val="center"/>
            <w:tcMar>
              <w:top w:w="80" w:type="dxa"/>
              <w:start w:w="90" w:type="dxa"/>
              <w:bottom w:w="80" w:type="dxa"/>
              <w:end w:w="90" w:type="dxa"/>
            </w:tcMar>
            <w:shd w:fill="F6F8F6"/>
          </w:tcPr>
          <w:p>
            <w:pPr>
              <w:spacing w:after="40" w:before="20"/>
            </w:pPr>
            <w:r>
              <w:rPr>
                <w:rFonts w:ascii="Aptos" w:hAnsi="Aptos"/>
                <w:sz w:val="18"/>
              </w:rPr>
              <w:t>Approximately 26-32 hours over 12 months, including preparation and brief messages</w:t>
            </w:r>
          </w:p>
        </w:tc>
      </w:tr>
    </w:tbl>
    <w:p>
      <w:pPr>
        <w:pStyle w:val="Heading1"/>
      </w:pPr>
      <w:r>
        <w:t>1. Purpose and program model</w:t>
      </w:r>
    </w:p>
    <w:p>
      <w:r>
        <w:t>The program should help new acupuncturists cross the gap between academic competence and the realities of ethical clinical practice, business formation, documentation, reimbursement, professional identity, referral relationships, and long-term career sustainability. It should also reconnect established practitioners with schools and the next generation of the profession.</w:t>
      </w:r>
    </w:p>
    <w:p>
      <w:r>
        <w:t>Mentorship is a reciprocal professional relationship: the mentor offers experience, reflection, perspective, and connections; the mentee owns decisions, verifies state requirements, completes agreed work, and brings current knowledge and questions. Mentoring guidance from the National Academies and AAMC supports explicit expectations, planned activities, mutual respect, constructive feedback, and written mentoring compacts.[1-3]</w:t>
      </w:r>
    </w:p>
    <w:p>
      <w:pPr>
        <w:pStyle w:val="Heading2"/>
      </w:pPr>
      <w:r>
        <w:t>Recommended two-track structure</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2016"/>
            <w:vAlign w:val="center"/>
            <w:tcMar>
              <w:top w:w="80" w:type="dxa"/>
              <w:start w:w="90" w:type="dxa"/>
              <w:bottom w:w="80" w:type="dxa"/>
              <w:end w:w="90" w:type="dxa"/>
            </w:tcMar>
            <w:shd w:fill="2E6B3A"/>
          </w:tcPr>
          <w:p>
            <w:pPr>
              <w:spacing w:after="40" w:before="20"/>
            </w:pPr>
            <w:r>
              <w:rPr>
                <w:rFonts w:ascii="Aptos" w:hAnsi="Aptos"/>
                <w:b/>
                <w:color w:val="FFFFFF"/>
                <w:sz w:val="18"/>
              </w:rPr>
              <w:t>Track</w:t>
            </w:r>
          </w:p>
        </w:tc>
        <w:tc>
          <w:tcPr>
            <w:tcW w:type="dxa" w:w="2880"/>
            <w:vAlign w:val="center"/>
            <w:tcMar>
              <w:top w:w="80" w:type="dxa"/>
              <w:start w:w="90" w:type="dxa"/>
              <w:bottom w:w="80" w:type="dxa"/>
              <w:end w:w="90" w:type="dxa"/>
            </w:tcMar>
            <w:shd w:fill="2E6B3A"/>
          </w:tcPr>
          <w:p>
            <w:pPr>
              <w:spacing w:after="40" w:before="20"/>
            </w:pPr>
            <w:r>
              <w:rPr>
                <w:rFonts w:ascii="Aptos" w:hAnsi="Aptos"/>
                <w:b/>
                <w:color w:val="FFFFFF"/>
                <w:sz w:val="18"/>
              </w:rPr>
              <w:t>Participant</w:t>
            </w:r>
          </w:p>
        </w:tc>
        <w:tc>
          <w:tcPr>
            <w:tcW w:type="dxa" w:w="5184"/>
            <w:vAlign w:val="center"/>
            <w:tcMar>
              <w:top w:w="80" w:type="dxa"/>
              <w:start w:w="90" w:type="dxa"/>
              <w:bottom w:w="80" w:type="dxa"/>
              <w:end w:w="90" w:type="dxa"/>
            </w:tcMar>
            <w:shd w:fill="2E6B3A"/>
          </w:tcPr>
          <w:p>
            <w:pPr>
              <w:spacing w:after="40" w:before="20"/>
            </w:pPr>
            <w:r>
              <w:rPr>
                <w:rFonts w:ascii="Aptos" w:hAnsi="Aptos"/>
                <w:b/>
                <w:color w:val="FFFFFF"/>
                <w:sz w:val="18"/>
              </w:rPr>
              <w:t>Primary focus</w:t>
            </w:r>
          </w:p>
        </w:tc>
      </w:tr>
      <w:tr>
        <w:tc>
          <w:tcPr>
            <w:tcW w:type="dxa" w:w="2016"/>
            <w:vAlign w:val="center"/>
            <w:tcMar>
              <w:top w:w="80" w:type="dxa"/>
              <w:start w:w="90" w:type="dxa"/>
              <w:bottom w:w="80" w:type="dxa"/>
              <w:end w:w="90" w:type="dxa"/>
            </w:tcMar>
          </w:tcPr>
          <w:p>
            <w:pPr>
              <w:spacing w:after="40" w:before="20"/>
            </w:pPr>
            <w:r>
              <w:rPr>
                <w:rFonts w:ascii="Aptos" w:hAnsi="Aptos"/>
                <w:sz w:val="18"/>
              </w:rPr>
              <w:t>A. Student-to-Practice Bridge</w:t>
            </w:r>
          </w:p>
        </w:tc>
        <w:tc>
          <w:tcPr>
            <w:tcW w:type="dxa" w:w="2880"/>
            <w:vAlign w:val="center"/>
            <w:tcMar>
              <w:top w:w="80" w:type="dxa"/>
              <w:start w:w="90" w:type="dxa"/>
              <w:bottom w:w="80" w:type="dxa"/>
              <w:end w:w="90" w:type="dxa"/>
            </w:tcMar>
          </w:tcPr>
          <w:p>
            <w:pPr>
              <w:spacing w:after="40" w:before="20"/>
            </w:pPr>
            <w:r>
              <w:rPr>
                <w:rFonts w:ascii="Aptos" w:hAnsi="Aptos"/>
                <w:sz w:val="18"/>
              </w:rPr>
              <w:t>Final-year student or recent graduate awaiting licensure</w:t>
            </w:r>
          </w:p>
        </w:tc>
        <w:tc>
          <w:tcPr>
            <w:tcW w:type="dxa" w:w="5184"/>
            <w:vAlign w:val="center"/>
            <w:tcMar>
              <w:top w:w="80" w:type="dxa"/>
              <w:start w:w="90" w:type="dxa"/>
              <w:bottom w:w="80" w:type="dxa"/>
              <w:end w:w="90" w:type="dxa"/>
            </w:tcMar>
          </w:tcPr>
          <w:p>
            <w:pPr>
              <w:spacing w:after="40" w:before="20"/>
            </w:pPr>
            <w:r>
              <w:rPr>
                <w:rFonts w:ascii="Aptos" w:hAnsi="Aptos"/>
                <w:sz w:val="18"/>
              </w:rPr>
              <w:t>Career planning, licensing roadmap, professional conduct, business literacy, networking, and observation only when separately authorized</w:t>
            </w:r>
          </w:p>
        </w:tc>
      </w:tr>
      <w:tr>
        <w:tc>
          <w:tcPr>
            <w:tcW w:type="dxa" w:w="2016"/>
            <w:vAlign w:val="center"/>
            <w:tcMar>
              <w:top w:w="80" w:type="dxa"/>
              <w:start w:w="90" w:type="dxa"/>
              <w:bottom w:w="80" w:type="dxa"/>
              <w:end w:w="90" w:type="dxa"/>
            </w:tcMar>
            <w:shd w:fill="F6F8F6"/>
          </w:tcPr>
          <w:p>
            <w:pPr>
              <w:spacing w:after="40" w:before="20"/>
            </w:pPr>
            <w:r>
              <w:rPr>
                <w:rFonts w:ascii="Aptos" w:hAnsi="Aptos"/>
                <w:sz w:val="18"/>
              </w:rPr>
              <w:t>B. New Practitioner Launch</w:t>
            </w:r>
          </w:p>
        </w:tc>
        <w:tc>
          <w:tcPr>
            <w:tcW w:type="dxa" w:w="2880"/>
            <w:vAlign w:val="center"/>
            <w:tcMar>
              <w:top w:w="80" w:type="dxa"/>
              <w:start w:w="90" w:type="dxa"/>
              <w:bottom w:w="80" w:type="dxa"/>
              <w:end w:w="90" w:type="dxa"/>
            </w:tcMar>
            <w:shd w:fill="F6F8F6"/>
          </w:tcPr>
          <w:p>
            <w:pPr>
              <w:spacing w:after="40" w:before="20"/>
            </w:pPr>
            <w:r>
              <w:rPr>
                <w:rFonts w:ascii="Aptos" w:hAnsi="Aptos"/>
                <w:sz w:val="18"/>
              </w:rPr>
              <w:t>Licensed acupuncturist in first 0-3 years</w:t>
            </w:r>
          </w:p>
        </w:tc>
        <w:tc>
          <w:tcPr>
            <w:tcW w:type="dxa" w:w="5184"/>
            <w:vAlign w:val="center"/>
            <w:tcMar>
              <w:top w:w="80" w:type="dxa"/>
              <w:start w:w="90" w:type="dxa"/>
              <w:bottom w:w="80" w:type="dxa"/>
              <w:end w:w="90" w:type="dxa"/>
            </w:tcMar>
            <w:shd w:fill="F6F8F6"/>
          </w:tcPr>
          <w:p>
            <w:pPr>
              <w:spacing w:after="40" w:before="20"/>
            </w:pPr>
            <w:r>
              <w:rPr>
                <w:rFonts w:ascii="Aptos" w:hAnsi="Aptos"/>
                <w:sz w:val="18"/>
              </w:rPr>
              <w:t>Clinical reasoning reflection, documentation, referrals, compliance habits, reimbursement, practice building, work-life sustainability, and leadership</w:t>
            </w:r>
          </w:p>
        </w:tc>
      </w:tr>
    </w:tbl>
    <w:tbl>
      <w:tblPr>
        <w:tblW w:type="auto" w:w="0"/>
        <w:jc w:val="center"/>
        <w:tblLook w:firstColumn="1" w:firstRow="1" w:lastColumn="0" w:lastRow="0" w:noHBand="0" w:noVBand="1" w:val="04A0"/>
      </w:tblPr>
      <w:tblGrid>
        <w:gridCol w:w="10080"/>
      </w:tblGrid>
      <w:tr>
        <w:tc>
          <w:tcPr>
            <w:tcW w:type="dxa" w:w="10080"/>
            <w:shd w:fill="FFF5D9"/>
            <w:tcMar>
              <w:top w:w="130" w:type="dxa"/>
              <w:start w:w="140" w:type="dxa"/>
              <w:bottom w:w="130" w:type="dxa"/>
              <w:end w:w="140" w:type="dxa"/>
            </w:tcMar>
          </w:tcPr>
          <w:p>
            <w:pPr>
              <w:spacing w:after="60"/>
            </w:pPr>
            <w:r>
              <w:rPr>
                <w:b/>
                <w:color w:val="2E6B3A"/>
              </w:rPr>
              <w:t xml:space="preserve">Important: </w:t>
            </w:r>
            <w:r>
              <w:t>A mentor is not automatically a clinical supervisor, preceptor, employer, consultant, or treating practitioner. Those roles require separate agreements, responsibilities, and often additional insurance or school approval.</w:t>
            </w:r>
          </w:p>
        </w:tc>
      </w:tr>
    </w:tbl>
    <w:p>
      <w:pPr>
        <w:spacing w:after="0"/>
      </w:pPr>
    </w:p>
    <w:p>
      <w:pPr>
        <w:pStyle w:val="Heading1"/>
      </w:pPr>
      <w:r>
        <w:t>2. Who the program serves</w:t>
      </w:r>
    </w:p>
    <w:p>
      <w:pPr>
        <w:pStyle w:val="Heading2"/>
      </w:pPr>
      <w:r>
        <w:t>Mentee eligibility</w:t>
      </w:r>
    </w:p>
    <w:p>
      <w:pPr>
        <w:pStyle w:val="ListBullet"/>
        <w:spacing w:after="50"/>
      </w:pPr>
      <w:r>
        <w:t>Senior acupuncture/herbal medicine students in good standing, when their school agrees to participate or refer students.</w:t>
      </w:r>
    </w:p>
    <w:p>
      <w:pPr>
        <w:pStyle w:val="ListBullet"/>
        <w:spacing w:after="50"/>
      </w:pPr>
      <w:r>
        <w:t>Graduates preparing for certification examinations or state licensure.</w:t>
      </w:r>
    </w:p>
    <w:p>
      <w:pPr>
        <w:pStyle w:val="ListBullet"/>
        <w:spacing w:after="50"/>
      </w:pPr>
      <w:r>
        <w:t>Newly licensed acupuncturists, ideally within their first three years of practice.</w:t>
      </w:r>
    </w:p>
    <w:p>
      <w:pPr>
        <w:pStyle w:val="ListBullet"/>
        <w:spacing w:after="50"/>
      </w:pPr>
      <w:r>
        <w:t>Practitioners re-entering the field or relocating to a new state, at program discretion.</w:t>
      </w:r>
    </w:p>
    <w:p>
      <w:pPr>
        <w:pStyle w:val="ListBullet"/>
        <w:spacing w:after="50"/>
      </w:pPr>
      <w:r>
        <w:t>Participants who agree to the program compact, confidentiality rules, meeting preparation, and evaluation process.</w:t>
      </w:r>
    </w:p>
    <w:p>
      <w:pPr>
        <w:pStyle w:val="Heading2"/>
      </w:pPr>
      <w:r>
        <w:t>Program goals</w:t>
      </w:r>
    </w:p>
    <w:p>
      <w:pPr>
        <w:pStyle w:val="ListBullet"/>
        <w:spacing w:after="50"/>
      </w:pPr>
      <w:r>
        <w:t>Increase confidence without encouraging practice beyond competence or scope.</w:t>
      </w:r>
    </w:p>
    <w:p>
      <w:pPr>
        <w:pStyle w:val="ListBullet"/>
        <w:spacing w:after="50"/>
      </w:pPr>
      <w:r>
        <w:t>Strengthen patient safety, documentation, informed consent, referral, and red-flag habits.</w:t>
      </w:r>
    </w:p>
    <w:p>
      <w:pPr>
        <w:pStyle w:val="ListBullet"/>
        <w:spacing w:after="50"/>
      </w:pPr>
      <w:r>
        <w:t>Shorten the learning curve for establishing or joining a financially sustainable practice.</w:t>
      </w:r>
    </w:p>
    <w:p>
      <w:pPr>
        <w:pStyle w:val="ListBullet"/>
        <w:spacing w:after="50"/>
      </w:pPr>
      <w:r>
        <w:t>Improve professional connection and reduce isolation and early-career burnout.</w:t>
      </w:r>
    </w:p>
    <w:p>
      <w:pPr>
        <w:pStyle w:val="ListBullet"/>
        <w:spacing w:after="50"/>
      </w:pPr>
      <w:r>
        <w:t>Create pathways to employment, group practice, teaching, committee service, and leadership.</w:t>
      </w:r>
    </w:p>
    <w:p>
      <w:pPr>
        <w:pStyle w:val="ListBullet"/>
        <w:spacing w:after="50"/>
      </w:pPr>
      <w:r>
        <w:t>Build durable relationships among NGAOM, schools, state associations, and experienced practitioners.</w:t>
      </w:r>
    </w:p>
    <w:p>
      <w:pPr>
        <w:pStyle w:val="Heading1"/>
      </w:pPr>
      <w:r>
        <w:t>3. Recommended term and time commitment</w:t>
      </w:r>
    </w:p>
    <w:p>
      <w:r>
        <w:t>A purely as-needed arrangement is easy to start but often fades before trust develops. A rigid weekly commitment for a full year may deter excellent mentors. The following graduated schedule balances continuity and feasibility.</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rPr>
          <w:tblHeader w:val="true"/>
        </w:trPr>
        <w:tc>
          <w:tcPr>
            <w:tcW w:type="dxa" w:w="1512"/>
            <w:vAlign w:val="center"/>
            <w:tcMar>
              <w:top w:w="80" w:type="dxa"/>
              <w:start w:w="90" w:type="dxa"/>
              <w:bottom w:w="80" w:type="dxa"/>
              <w:end w:w="90" w:type="dxa"/>
            </w:tcMar>
            <w:shd w:fill="2E6B3A"/>
          </w:tcPr>
          <w:p>
            <w:pPr>
              <w:spacing w:after="40" w:before="20"/>
            </w:pPr>
            <w:r>
              <w:rPr>
                <w:rFonts w:ascii="Aptos" w:hAnsi="Aptos"/>
                <w:b/>
                <w:color w:val="FFFFFF"/>
                <w:sz w:val="17"/>
              </w:rPr>
              <w:t>Phase</w:t>
            </w:r>
          </w:p>
        </w:tc>
        <w:tc>
          <w:tcPr>
            <w:tcW w:type="dxa" w:w="1440"/>
            <w:vAlign w:val="center"/>
            <w:tcMar>
              <w:top w:w="80" w:type="dxa"/>
              <w:start w:w="90" w:type="dxa"/>
              <w:bottom w:w="80" w:type="dxa"/>
              <w:end w:w="90" w:type="dxa"/>
            </w:tcMar>
            <w:shd w:fill="2E6B3A"/>
          </w:tcPr>
          <w:p>
            <w:pPr>
              <w:spacing w:after="40" w:before="20"/>
            </w:pPr>
            <w:r>
              <w:rPr>
                <w:rFonts w:ascii="Aptos" w:hAnsi="Aptos"/>
                <w:b/>
                <w:color w:val="FFFFFF"/>
                <w:sz w:val="17"/>
              </w:rPr>
              <w:t>Timing</w:t>
            </w:r>
          </w:p>
        </w:tc>
        <w:tc>
          <w:tcPr>
            <w:tcW w:type="dxa" w:w="3168"/>
            <w:vAlign w:val="center"/>
            <w:tcMar>
              <w:top w:w="80" w:type="dxa"/>
              <w:start w:w="90" w:type="dxa"/>
              <w:bottom w:w="80" w:type="dxa"/>
              <w:end w:w="90" w:type="dxa"/>
            </w:tcMar>
            <w:shd w:fill="2E6B3A"/>
          </w:tcPr>
          <w:p>
            <w:pPr>
              <w:spacing w:after="40" w:before="20"/>
            </w:pPr>
            <w:r>
              <w:rPr>
                <w:rFonts w:ascii="Aptos" w:hAnsi="Aptos"/>
                <w:b/>
                <w:color w:val="FFFFFF"/>
                <w:sz w:val="17"/>
              </w:rPr>
              <w:t>Contact</w:t>
            </w:r>
          </w:p>
        </w:tc>
        <w:tc>
          <w:tcPr>
            <w:tcW w:type="dxa" w:w="3960"/>
            <w:vAlign w:val="center"/>
            <w:tcMar>
              <w:top w:w="80" w:type="dxa"/>
              <w:start w:w="90" w:type="dxa"/>
              <w:bottom w:w="80" w:type="dxa"/>
              <w:end w:w="90" w:type="dxa"/>
            </w:tcMar>
            <w:shd w:fill="2E6B3A"/>
          </w:tcPr>
          <w:p>
            <w:pPr>
              <w:spacing w:after="40" w:before="20"/>
            </w:pPr>
            <w:r>
              <w:rPr>
                <w:rFonts w:ascii="Aptos" w:hAnsi="Aptos"/>
                <w:b/>
                <w:color w:val="FFFFFF"/>
                <w:sz w:val="17"/>
              </w:rPr>
              <w:t>Purpose</w:t>
            </w:r>
          </w:p>
        </w:tc>
      </w:tr>
      <w:tr>
        <w:tc>
          <w:tcPr>
            <w:tcW w:type="dxa" w:w="1512"/>
            <w:vAlign w:val="center"/>
            <w:tcMar>
              <w:top w:w="80" w:type="dxa"/>
              <w:start w:w="90" w:type="dxa"/>
              <w:bottom w:w="80" w:type="dxa"/>
              <w:end w:w="90" w:type="dxa"/>
            </w:tcMar>
          </w:tcPr>
          <w:p>
            <w:pPr>
              <w:spacing w:after="40" w:before="20"/>
            </w:pPr>
            <w:r>
              <w:rPr>
                <w:rFonts w:ascii="Aptos" w:hAnsi="Aptos"/>
                <w:sz w:val="17"/>
              </w:rPr>
              <w:t>Launch</w:t>
            </w:r>
          </w:p>
        </w:tc>
        <w:tc>
          <w:tcPr>
            <w:tcW w:type="dxa" w:w="1440"/>
            <w:vAlign w:val="center"/>
            <w:tcMar>
              <w:top w:w="80" w:type="dxa"/>
              <w:start w:w="90" w:type="dxa"/>
              <w:bottom w:w="80" w:type="dxa"/>
              <w:end w:w="90" w:type="dxa"/>
            </w:tcMar>
          </w:tcPr>
          <w:p>
            <w:pPr>
              <w:spacing w:after="40" w:before="20"/>
            </w:pPr>
            <w:r>
              <w:rPr>
                <w:rFonts w:ascii="Aptos" w:hAnsi="Aptos"/>
                <w:sz w:val="17"/>
              </w:rPr>
              <w:t>Weeks 1-2</w:t>
            </w:r>
          </w:p>
        </w:tc>
        <w:tc>
          <w:tcPr>
            <w:tcW w:type="dxa" w:w="3168"/>
            <w:vAlign w:val="center"/>
            <w:tcMar>
              <w:top w:w="80" w:type="dxa"/>
              <w:start w:w="90" w:type="dxa"/>
              <w:bottom w:w="80" w:type="dxa"/>
              <w:end w:w="90" w:type="dxa"/>
            </w:tcMar>
          </w:tcPr>
          <w:p>
            <w:pPr>
              <w:spacing w:after="40" w:before="20"/>
            </w:pPr>
            <w:r>
              <w:rPr>
                <w:rFonts w:ascii="Aptos" w:hAnsi="Aptos"/>
                <w:sz w:val="17"/>
              </w:rPr>
              <w:t>One 60-75 minute orientation and goal-setting meeting</w:t>
            </w:r>
          </w:p>
        </w:tc>
        <w:tc>
          <w:tcPr>
            <w:tcW w:type="dxa" w:w="3960"/>
            <w:vAlign w:val="center"/>
            <w:tcMar>
              <w:top w:w="80" w:type="dxa"/>
              <w:start w:w="90" w:type="dxa"/>
              <w:bottom w:w="80" w:type="dxa"/>
              <w:end w:w="90" w:type="dxa"/>
            </w:tcMar>
          </w:tcPr>
          <w:p>
            <w:pPr>
              <w:spacing w:after="40" w:before="20"/>
            </w:pPr>
            <w:r>
              <w:rPr>
                <w:rFonts w:ascii="Aptos" w:hAnsi="Aptos"/>
                <w:sz w:val="17"/>
              </w:rPr>
              <w:t>Set expectations, review license/school status, identify goals, boundaries, and first 90-day plan</w:t>
            </w:r>
          </w:p>
        </w:tc>
      </w:tr>
      <w:tr>
        <w:tc>
          <w:tcPr>
            <w:tcW w:type="dxa" w:w="1512"/>
            <w:vAlign w:val="center"/>
            <w:tcMar>
              <w:top w:w="80" w:type="dxa"/>
              <w:start w:w="90" w:type="dxa"/>
              <w:bottom w:w="80" w:type="dxa"/>
              <w:end w:w="90" w:type="dxa"/>
            </w:tcMar>
            <w:shd w:fill="F6F8F6"/>
          </w:tcPr>
          <w:p>
            <w:pPr>
              <w:spacing w:after="40" w:before="20"/>
            </w:pPr>
            <w:r>
              <w:rPr>
                <w:rFonts w:ascii="Aptos" w:hAnsi="Aptos"/>
                <w:sz w:val="17"/>
              </w:rPr>
              <w:t>Foundation</w:t>
            </w:r>
          </w:p>
        </w:tc>
        <w:tc>
          <w:tcPr>
            <w:tcW w:type="dxa" w:w="1440"/>
            <w:vAlign w:val="center"/>
            <w:tcMar>
              <w:top w:w="80" w:type="dxa"/>
              <w:start w:w="90" w:type="dxa"/>
              <w:bottom w:w="80" w:type="dxa"/>
              <w:end w:w="90" w:type="dxa"/>
            </w:tcMar>
            <w:shd w:fill="F6F8F6"/>
          </w:tcPr>
          <w:p>
            <w:pPr>
              <w:spacing w:after="40" w:before="20"/>
            </w:pPr>
            <w:r>
              <w:rPr>
                <w:rFonts w:ascii="Aptos" w:hAnsi="Aptos"/>
                <w:sz w:val="17"/>
              </w:rPr>
              <w:t>Months 1-3</w:t>
            </w:r>
          </w:p>
        </w:tc>
        <w:tc>
          <w:tcPr>
            <w:tcW w:type="dxa" w:w="3168"/>
            <w:vAlign w:val="center"/>
            <w:tcMar>
              <w:top w:w="80" w:type="dxa"/>
              <w:start w:w="90" w:type="dxa"/>
              <w:bottom w:w="80" w:type="dxa"/>
              <w:end w:w="90" w:type="dxa"/>
            </w:tcMar>
            <w:shd w:fill="F6F8F6"/>
          </w:tcPr>
          <w:p>
            <w:pPr>
              <w:spacing w:after="40" w:before="20"/>
            </w:pPr>
            <w:r>
              <w:rPr>
                <w:rFonts w:ascii="Aptos" w:hAnsi="Aptos"/>
                <w:sz w:val="17"/>
              </w:rPr>
              <w:t>45-60 minutes weekly</w:t>
            </w:r>
          </w:p>
        </w:tc>
        <w:tc>
          <w:tcPr>
            <w:tcW w:type="dxa" w:w="3960"/>
            <w:vAlign w:val="center"/>
            <w:tcMar>
              <w:top w:w="80" w:type="dxa"/>
              <w:start w:w="90" w:type="dxa"/>
              <w:bottom w:w="80" w:type="dxa"/>
              <w:end w:w="90" w:type="dxa"/>
            </w:tcMar>
            <w:shd w:fill="F6F8F6"/>
          </w:tcPr>
          <w:p>
            <w:pPr>
              <w:spacing w:after="40" w:before="20"/>
            </w:pPr>
            <w:r>
              <w:rPr>
                <w:rFonts w:ascii="Aptos" w:hAnsi="Aptos"/>
                <w:sz w:val="17"/>
              </w:rPr>
              <w:t>Create momentum; address immediate clinical, employment, documentation, and practice-launch issues</w:t>
            </w:r>
          </w:p>
        </w:tc>
      </w:tr>
      <w:tr>
        <w:tc>
          <w:tcPr>
            <w:tcW w:type="dxa" w:w="1512"/>
            <w:vAlign w:val="center"/>
            <w:tcMar>
              <w:top w:w="80" w:type="dxa"/>
              <w:start w:w="90" w:type="dxa"/>
              <w:bottom w:w="80" w:type="dxa"/>
              <w:end w:w="90" w:type="dxa"/>
            </w:tcMar>
          </w:tcPr>
          <w:p>
            <w:pPr>
              <w:spacing w:after="40" w:before="20"/>
            </w:pPr>
            <w:r>
              <w:rPr>
                <w:rFonts w:ascii="Aptos" w:hAnsi="Aptos"/>
                <w:sz w:val="17"/>
              </w:rPr>
              <w:t>Application</w:t>
            </w:r>
          </w:p>
        </w:tc>
        <w:tc>
          <w:tcPr>
            <w:tcW w:type="dxa" w:w="1440"/>
            <w:vAlign w:val="center"/>
            <w:tcMar>
              <w:top w:w="80" w:type="dxa"/>
              <w:start w:w="90" w:type="dxa"/>
              <w:bottom w:w="80" w:type="dxa"/>
              <w:end w:w="90" w:type="dxa"/>
            </w:tcMar>
          </w:tcPr>
          <w:p>
            <w:pPr>
              <w:spacing w:after="40" w:before="20"/>
            </w:pPr>
            <w:r>
              <w:rPr>
                <w:rFonts w:ascii="Aptos" w:hAnsi="Aptos"/>
                <w:sz w:val="17"/>
              </w:rPr>
              <w:t>Months 4-6</w:t>
            </w:r>
          </w:p>
        </w:tc>
        <w:tc>
          <w:tcPr>
            <w:tcW w:type="dxa" w:w="3168"/>
            <w:vAlign w:val="center"/>
            <w:tcMar>
              <w:top w:w="80" w:type="dxa"/>
              <w:start w:w="90" w:type="dxa"/>
              <w:bottom w:w="80" w:type="dxa"/>
              <w:end w:w="90" w:type="dxa"/>
            </w:tcMar>
          </w:tcPr>
          <w:p>
            <w:pPr>
              <w:spacing w:after="40" w:before="20"/>
            </w:pPr>
            <w:r>
              <w:rPr>
                <w:rFonts w:ascii="Aptos" w:hAnsi="Aptos"/>
                <w:sz w:val="17"/>
              </w:rPr>
              <w:t>60 minutes twice monthly</w:t>
            </w:r>
          </w:p>
        </w:tc>
        <w:tc>
          <w:tcPr>
            <w:tcW w:type="dxa" w:w="3960"/>
            <w:vAlign w:val="center"/>
            <w:tcMar>
              <w:top w:w="80" w:type="dxa"/>
              <w:start w:w="90" w:type="dxa"/>
              <w:bottom w:w="80" w:type="dxa"/>
              <w:end w:w="90" w:type="dxa"/>
            </w:tcMar>
          </w:tcPr>
          <w:p>
            <w:pPr>
              <w:spacing w:after="40" w:before="20"/>
            </w:pPr>
            <w:r>
              <w:rPr>
                <w:rFonts w:ascii="Aptos" w:hAnsi="Aptos"/>
                <w:sz w:val="17"/>
              </w:rPr>
              <w:t>Review implementation, troubleshoot, deepen selected competencies</w:t>
            </w:r>
          </w:p>
        </w:tc>
      </w:tr>
      <w:tr>
        <w:tc>
          <w:tcPr>
            <w:tcW w:type="dxa" w:w="1512"/>
            <w:vAlign w:val="center"/>
            <w:tcMar>
              <w:top w:w="80" w:type="dxa"/>
              <w:start w:w="90" w:type="dxa"/>
              <w:bottom w:w="80" w:type="dxa"/>
              <w:end w:w="90" w:type="dxa"/>
            </w:tcMar>
            <w:shd w:fill="F6F8F6"/>
          </w:tcPr>
          <w:p>
            <w:pPr>
              <w:spacing w:after="40" w:before="20"/>
            </w:pPr>
            <w:r>
              <w:rPr>
                <w:rFonts w:ascii="Aptos" w:hAnsi="Aptos"/>
                <w:sz w:val="17"/>
              </w:rPr>
              <w:t>Independence</w:t>
            </w:r>
          </w:p>
        </w:tc>
        <w:tc>
          <w:tcPr>
            <w:tcW w:type="dxa" w:w="1440"/>
            <w:vAlign w:val="center"/>
            <w:tcMar>
              <w:top w:w="80" w:type="dxa"/>
              <w:start w:w="90" w:type="dxa"/>
              <w:bottom w:w="80" w:type="dxa"/>
              <w:end w:w="90" w:type="dxa"/>
            </w:tcMar>
            <w:shd w:fill="F6F8F6"/>
          </w:tcPr>
          <w:p>
            <w:pPr>
              <w:spacing w:after="40" w:before="20"/>
            </w:pPr>
            <w:r>
              <w:rPr>
                <w:rFonts w:ascii="Aptos" w:hAnsi="Aptos"/>
                <w:sz w:val="17"/>
              </w:rPr>
              <w:t>Months 7-12</w:t>
            </w:r>
          </w:p>
        </w:tc>
        <w:tc>
          <w:tcPr>
            <w:tcW w:type="dxa" w:w="3168"/>
            <w:vAlign w:val="center"/>
            <w:tcMar>
              <w:top w:w="80" w:type="dxa"/>
              <w:start w:w="90" w:type="dxa"/>
              <w:bottom w:w="80" w:type="dxa"/>
              <w:end w:w="90" w:type="dxa"/>
            </w:tcMar>
            <w:shd w:fill="F6F8F6"/>
          </w:tcPr>
          <w:p>
            <w:pPr>
              <w:spacing w:after="40" w:before="20"/>
            </w:pPr>
            <w:r>
              <w:rPr>
                <w:rFonts w:ascii="Aptos" w:hAnsi="Aptos"/>
                <w:sz w:val="17"/>
              </w:rPr>
              <w:t>60 minutes monthly</w:t>
            </w:r>
          </w:p>
        </w:tc>
        <w:tc>
          <w:tcPr>
            <w:tcW w:type="dxa" w:w="3960"/>
            <w:vAlign w:val="center"/>
            <w:tcMar>
              <w:top w:w="80" w:type="dxa"/>
              <w:start w:w="90" w:type="dxa"/>
              <w:bottom w:w="80" w:type="dxa"/>
              <w:end w:w="90" w:type="dxa"/>
            </w:tcMar>
            <w:shd w:fill="F6F8F6"/>
          </w:tcPr>
          <w:p>
            <w:pPr>
              <w:spacing w:after="40" w:before="20"/>
            </w:pPr>
            <w:r>
              <w:rPr>
                <w:rFonts w:ascii="Aptos" w:hAnsi="Aptos"/>
                <w:sz w:val="17"/>
              </w:rPr>
              <w:t>Promote independent judgment, network building, and long-term planning</w:t>
            </w:r>
          </w:p>
        </w:tc>
      </w:tr>
      <w:tr>
        <w:tc>
          <w:tcPr>
            <w:tcW w:type="dxa" w:w="1512"/>
            <w:vAlign w:val="center"/>
            <w:tcMar>
              <w:top w:w="80" w:type="dxa"/>
              <w:start w:w="90" w:type="dxa"/>
              <w:bottom w:w="80" w:type="dxa"/>
              <w:end w:w="90" w:type="dxa"/>
            </w:tcMar>
          </w:tcPr>
          <w:p>
            <w:pPr>
              <w:spacing w:after="40" w:before="20"/>
            </w:pPr>
            <w:r>
              <w:rPr>
                <w:rFonts w:ascii="Aptos" w:hAnsi="Aptos"/>
                <w:sz w:val="17"/>
              </w:rPr>
              <w:t>As needed</w:t>
            </w:r>
          </w:p>
        </w:tc>
        <w:tc>
          <w:tcPr>
            <w:tcW w:type="dxa" w:w="1440"/>
            <w:vAlign w:val="center"/>
            <w:tcMar>
              <w:top w:w="80" w:type="dxa"/>
              <w:start w:w="90" w:type="dxa"/>
              <w:bottom w:w="80" w:type="dxa"/>
              <w:end w:w="90" w:type="dxa"/>
            </w:tcMar>
          </w:tcPr>
          <w:p>
            <w:pPr>
              <w:spacing w:after="40" w:before="20"/>
            </w:pPr>
            <w:r>
              <w:rPr>
                <w:rFonts w:ascii="Aptos" w:hAnsi="Aptos"/>
                <w:sz w:val="17"/>
              </w:rPr>
              <w:t>Throughout</w:t>
            </w:r>
          </w:p>
        </w:tc>
        <w:tc>
          <w:tcPr>
            <w:tcW w:type="dxa" w:w="3168"/>
            <w:vAlign w:val="center"/>
            <w:tcMar>
              <w:top w:w="80" w:type="dxa"/>
              <w:start w:w="90" w:type="dxa"/>
              <w:bottom w:w="80" w:type="dxa"/>
              <w:end w:w="90" w:type="dxa"/>
            </w:tcMar>
          </w:tcPr>
          <w:p>
            <w:pPr>
              <w:spacing w:after="40" w:before="20"/>
            </w:pPr>
            <w:r>
              <w:rPr>
                <w:rFonts w:ascii="Aptos" w:hAnsi="Aptos"/>
                <w:sz w:val="17"/>
              </w:rPr>
              <w:t>Up to 1-2 brief, nonurgent messages per week unless otherwise agreed</w:t>
            </w:r>
          </w:p>
        </w:tc>
        <w:tc>
          <w:tcPr>
            <w:tcW w:type="dxa" w:w="3960"/>
            <w:vAlign w:val="center"/>
            <w:tcMar>
              <w:top w:w="80" w:type="dxa"/>
              <w:start w:w="90" w:type="dxa"/>
              <w:bottom w:w="80" w:type="dxa"/>
              <w:end w:w="90" w:type="dxa"/>
            </w:tcMar>
          </w:tcPr>
          <w:p>
            <w:pPr>
              <w:spacing w:after="40" w:before="20"/>
            </w:pPr>
            <w:r>
              <w:rPr>
                <w:rFonts w:ascii="Aptos" w:hAnsi="Aptos"/>
                <w:sz w:val="17"/>
              </w:rPr>
              <w:t>Resolve bounded questions; normal response target is two business days</w:t>
            </w:r>
          </w:p>
        </w:tc>
      </w:tr>
      <w:tr>
        <w:tc>
          <w:tcPr>
            <w:tcW w:type="dxa" w:w="1512"/>
            <w:vAlign w:val="center"/>
            <w:tcMar>
              <w:top w:w="80" w:type="dxa"/>
              <w:start w:w="90" w:type="dxa"/>
              <w:bottom w:w="80" w:type="dxa"/>
              <w:end w:w="90" w:type="dxa"/>
            </w:tcMar>
            <w:shd w:fill="F6F8F6"/>
          </w:tcPr>
          <w:p>
            <w:pPr>
              <w:spacing w:after="40" w:before="20"/>
            </w:pPr>
            <w:r>
              <w:rPr>
                <w:rFonts w:ascii="Aptos" w:hAnsi="Aptos"/>
                <w:sz w:val="17"/>
              </w:rPr>
              <w:t>Closeout</w:t>
            </w:r>
          </w:p>
        </w:tc>
        <w:tc>
          <w:tcPr>
            <w:tcW w:type="dxa" w:w="1440"/>
            <w:vAlign w:val="center"/>
            <w:tcMar>
              <w:top w:w="80" w:type="dxa"/>
              <w:start w:w="90" w:type="dxa"/>
              <w:bottom w:w="80" w:type="dxa"/>
              <w:end w:w="90" w:type="dxa"/>
            </w:tcMar>
            <w:shd w:fill="F6F8F6"/>
          </w:tcPr>
          <w:p>
            <w:pPr>
              <w:spacing w:after="40" w:before="20"/>
            </w:pPr>
            <w:r>
              <w:rPr>
                <w:rFonts w:ascii="Aptos" w:hAnsi="Aptos"/>
                <w:sz w:val="17"/>
              </w:rPr>
              <w:t>Month 12</w:t>
            </w:r>
          </w:p>
        </w:tc>
        <w:tc>
          <w:tcPr>
            <w:tcW w:type="dxa" w:w="3168"/>
            <w:vAlign w:val="center"/>
            <w:tcMar>
              <w:top w:w="80" w:type="dxa"/>
              <w:start w:w="90" w:type="dxa"/>
              <w:bottom w:w="80" w:type="dxa"/>
              <w:end w:w="90" w:type="dxa"/>
            </w:tcMar>
            <w:shd w:fill="F6F8F6"/>
          </w:tcPr>
          <w:p>
            <w:pPr>
              <w:spacing w:after="40" w:before="20"/>
            </w:pPr>
            <w:r>
              <w:rPr>
                <w:rFonts w:ascii="Aptos" w:hAnsi="Aptos"/>
                <w:sz w:val="17"/>
              </w:rPr>
              <w:t>One 60-minute review</w:t>
            </w:r>
          </w:p>
        </w:tc>
        <w:tc>
          <w:tcPr>
            <w:tcW w:type="dxa" w:w="3960"/>
            <w:vAlign w:val="center"/>
            <w:tcMar>
              <w:top w:w="80" w:type="dxa"/>
              <w:start w:w="90" w:type="dxa"/>
              <w:bottom w:w="80" w:type="dxa"/>
              <w:end w:w="90" w:type="dxa"/>
            </w:tcMar>
            <w:shd w:fill="F6F8F6"/>
          </w:tcPr>
          <w:p>
            <w:pPr>
              <w:spacing w:after="40" w:before="20"/>
            </w:pPr>
            <w:r>
              <w:rPr>
                <w:rFonts w:ascii="Aptos" w:hAnsi="Aptos"/>
                <w:sz w:val="17"/>
              </w:rPr>
              <w:t>Assess outcomes, plan next year, and decide whether to conclude, renew informally, or move to peer mentoring</w:t>
            </w:r>
          </w:p>
        </w:tc>
      </w:tr>
    </w:tbl>
    <w:tbl>
      <w:tblPr>
        <w:tblW w:type="auto" w:w="0"/>
        <w:jc w:val="center"/>
        <w:tblLook w:firstColumn="1" w:firstRow="1" w:lastColumn="0" w:lastRow="0" w:noHBand="0" w:noVBand="1" w:val="04A0"/>
      </w:tblPr>
      <w:tblGrid>
        <w:gridCol w:w="10080"/>
      </w:tblGrid>
      <w:tr>
        <w:tc>
          <w:tcPr>
            <w:tcW w:type="dxa" w:w="10080"/>
            <w:shd w:fill="EAF2EB"/>
            <w:tcMar>
              <w:top w:w="130" w:type="dxa"/>
              <w:start w:w="140" w:type="dxa"/>
              <w:bottom w:w="130" w:type="dxa"/>
              <w:end w:w="140" w:type="dxa"/>
            </w:tcMar>
          </w:tcPr>
          <w:p>
            <w:pPr>
              <w:spacing w:after="60"/>
            </w:pPr>
            <w:r>
              <w:rPr>
                <w:b/>
                <w:color w:val="2E6B3A"/>
              </w:rPr>
              <w:t xml:space="preserve">Acceptable alternatives: </w:t>
            </w:r>
            <w:r>
              <w:t>A 6-month student bridge may use twice-monthly meetings. A 12-month group circle may pair two mentors with 5-7 mentees for a monthly 90-minute session, with individual check-ins at months 1, 3, 6, and 12. AAMC programs have used mentoring circles of similar size.[4]</w:t>
            </w:r>
          </w:p>
        </w:tc>
      </w:tr>
    </w:tbl>
    <w:p>
      <w:pPr>
        <w:spacing w:after="0"/>
      </w:pPr>
    </w:p>
    <w:p>
      <w:pPr>
        <w:pStyle w:val="Heading2"/>
      </w:pPr>
      <w:r>
        <w:t>Communication rules</w:t>
      </w:r>
    </w:p>
    <w:p>
      <w:pPr>
        <w:pStyle w:val="ListBullet"/>
        <w:spacing w:after="50"/>
      </w:pPr>
      <w:r>
        <w:t>No expectation of 24/7 availability.</w:t>
      </w:r>
    </w:p>
    <w:p>
      <w:pPr>
        <w:pStyle w:val="ListBullet"/>
        <w:spacing w:after="50"/>
      </w:pPr>
      <w:r>
        <w:t>No urgent patient-care questions by text or email; the mentee follows emergency, referral, and supervisory procedures.</w:t>
      </w:r>
    </w:p>
    <w:p>
      <w:pPr>
        <w:pStyle w:val="ListBullet"/>
        <w:spacing w:after="50"/>
      </w:pPr>
      <w:r>
        <w:t>The mentee sends an agenda or questions at least 24 hours before each scheduled meeting.</w:t>
      </w:r>
    </w:p>
    <w:p>
      <w:pPr>
        <w:pStyle w:val="ListBullet"/>
        <w:spacing w:after="50"/>
      </w:pPr>
      <w:r>
        <w:t>Either party may reschedule with reasonable notice and may request rematching without penalty.</w:t>
      </w:r>
    </w:p>
    <w:p>
      <w:pPr>
        <w:pStyle w:val="ListBullet"/>
        <w:spacing w:after="50"/>
      </w:pPr>
      <w:r>
        <w:t>Texting should be used only for scheduling or non-sensitive professional questions unless both agree otherwise.</w:t>
      </w:r>
    </w:p>
    <w:p>
      <w:pPr>
        <w:pStyle w:val="Heading1"/>
      </w:pPr>
      <w:r>
        <w:t>4. Mentor qualifications, duties, and boundaries</w:t>
      </w:r>
    </w:p>
    <w:p>
      <w:pPr>
        <w:pStyle w:val="Heading2"/>
      </w:pPr>
      <w:r>
        <w:t>Recommended mentor qualifications</w:t>
      </w:r>
    </w:p>
    <w:p>
      <w:pPr>
        <w:pStyle w:val="ListBullet"/>
        <w:spacing w:after="50"/>
      </w:pPr>
      <w:r>
        <w:t>Active, unrestricted acupuncture license in at least one U.S. jurisdiction; same-state licensure strongly preferred when state-specific clinical or regulatory issues are discussed.</w:t>
      </w:r>
    </w:p>
    <w:p>
      <w:pPr>
        <w:pStyle w:val="ListBullet"/>
        <w:spacing w:after="50"/>
      </w:pPr>
      <w:r>
        <w:t>Preferably 10 or more years of successful practice; permit exceptional mentors with at least 7 years and demonstrated expertise.</w:t>
      </w:r>
    </w:p>
    <w:p>
      <w:pPr>
        <w:pStyle w:val="ListBullet"/>
        <w:spacing w:after="50"/>
      </w:pPr>
      <w:r>
        <w:t>Current professional liability insurance appropriate to the mentor's activities.</w:t>
      </w:r>
    </w:p>
    <w:p>
      <w:pPr>
        <w:pStyle w:val="ListBullet"/>
        <w:spacing w:after="50"/>
      </w:pPr>
      <w:r>
        <w:t>No active discipline, probation, or unresolved restriction; disclose material prior discipline to the program for review.</w:t>
      </w:r>
    </w:p>
    <w:p>
      <w:pPr>
        <w:pStyle w:val="ListBullet"/>
        <w:spacing w:after="50"/>
      </w:pPr>
      <w:r>
        <w:t>Demonstrated ethical conduct, respectful communication, dependable follow-through, and willingness to support diverse practice styles.</w:t>
      </w:r>
    </w:p>
    <w:p>
      <w:pPr>
        <w:pStyle w:val="ListBullet"/>
        <w:spacing w:after="50"/>
      </w:pPr>
      <w:r>
        <w:t>Completion of a short NGAOM mentor orientation covering boundaries, confidentiality, feedback, state variation, and escalation.</w:t>
      </w:r>
    </w:p>
    <w:p>
      <w:pPr>
        <w:pStyle w:val="ListBullet"/>
        <w:spacing w:after="50"/>
      </w:pPr>
      <w:r>
        <w:t>Agreement not to recruit patients, pressure the mentee to purchase products, or use the relationship primarily for sales or unpaid labor.</w:t>
      </w:r>
    </w:p>
    <w:p>
      <w:pPr>
        <w:pStyle w:val="Heading2"/>
      </w:pPr>
      <w:r>
        <w:t>Mentor duties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vAlign w:val="center"/>
            <w:tcMar>
              <w:top w:w="80" w:type="dxa"/>
              <w:start w:w="90" w:type="dxa"/>
              <w:bottom w:w="80" w:type="dxa"/>
              <w:end w:w="90" w:type="dxa"/>
            </w:tcMar>
            <w:shd w:fill="2E6B3A"/>
          </w:tcPr>
          <w:p>
            <w:pPr>
              <w:spacing w:after="40" w:before="20"/>
            </w:pPr>
            <w:r>
              <w:rPr>
                <w:rFonts w:ascii="Aptos" w:hAnsi="Aptos"/>
                <w:b/>
                <w:color w:val="FFFFFF"/>
                <w:sz w:val="17"/>
              </w:rPr>
              <w:t>The mentor agrees to</w:t>
            </w:r>
          </w:p>
        </w:tc>
        <w:tc>
          <w:tcPr>
            <w:tcW w:type="dxa" w:w="6912"/>
            <w:vAlign w:val="center"/>
            <w:tcMar>
              <w:top w:w="80" w:type="dxa"/>
              <w:start w:w="90" w:type="dxa"/>
              <w:bottom w:w="80" w:type="dxa"/>
              <w:end w:w="90" w:type="dxa"/>
            </w:tcMar>
            <w:shd w:fill="2E6B3A"/>
          </w:tcPr>
          <w:p>
            <w:pPr>
              <w:spacing w:after="40" w:before="20"/>
            </w:pPr>
            <w:r>
              <w:rPr>
                <w:rFonts w:ascii="Aptos" w:hAnsi="Aptos"/>
                <w:b/>
                <w:color w:val="FFFFFF"/>
                <w:sz w:val="17"/>
              </w:rPr>
              <w:t>Examples</w:t>
            </w:r>
          </w:p>
        </w:tc>
      </w:tr>
      <w:tr>
        <w:tc>
          <w:tcPr>
            <w:tcW w:type="dxa" w:w="3168"/>
            <w:vAlign w:val="center"/>
            <w:tcMar>
              <w:top w:w="80" w:type="dxa"/>
              <w:start w:w="90" w:type="dxa"/>
              <w:bottom w:w="80" w:type="dxa"/>
              <w:end w:w="90" w:type="dxa"/>
            </w:tcMar>
          </w:tcPr>
          <w:p>
            <w:pPr>
              <w:spacing w:after="40" w:before="20"/>
            </w:pPr>
            <w:r>
              <w:rPr>
                <w:rFonts w:ascii="Aptos" w:hAnsi="Aptos"/>
                <w:sz w:val="17"/>
              </w:rPr>
              <w:t>Establish a safe learning relationship</w:t>
            </w:r>
          </w:p>
        </w:tc>
        <w:tc>
          <w:tcPr>
            <w:tcW w:type="dxa" w:w="6912"/>
            <w:vAlign w:val="center"/>
            <w:tcMar>
              <w:top w:w="80" w:type="dxa"/>
              <w:start w:w="90" w:type="dxa"/>
              <w:bottom w:w="80" w:type="dxa"/>
              <w:end w:w="90" w:type="dxa"/>
            </w:tcMar>
          </w:tcPr>
          <w:p>
            <w:pPr>
              <w:spacing w:after="40" w:before="20"/>
            </w:pPr>
            <w:r>
              <w:rPr>
                <w:rFonts w:ascii="Aptos" w:hAnsi="Aptos"/>
                <w:sz w:val="17"/>
              </w:rPr>
              <w:t>Listen, ask questions, invite uncertainty, provide measured feedback, and avoid humiliation or dogmatism.</w:t>
            </w:r>
          </w:p>
        </w:tc>
      </w:tr>
      <w:tr>
        <w:tc>
          <w:tcPr>
            <w:tcW w:type="dxa" w:w="3168"/>
            <w:vAlign w:val="center"/>
            <w:tcMar>
              <w:top w:w="80" w:type="dxa"/>
              <w:start w:w="90" w:type="dxa"/>
              <w:bottom w:w="80" w:type="dxa"/>
              <w:end w:w="90" w:type="dxa"/>
            </w:tcMar>
            <w:shd w:fill="F6F8F6"/>
          </w:tcPr>
          <w:p>
            <w:pPr>
              <w:spacing w:after="40" w:before="20"/>
            </w:pPr>
            <w:r>
              <w:rPr>
                <w:rFonts w:ascii="Aptos" w:hAnsi="Aptos"/>
                <w:sz w:val="17"/>
              </w:rPr>
              <w:t>Help define goals</w:t>
            </w:r>
          </w:p>
        </w:tc>
        <w:tc>
          <w:tcPr>
            <w:tcW w:type="dxa" w:w="6912"/>
            <w:vAlign w:val="center"/>
            <w:tcMar>
              <w:top w:w="80" w:type="dxa"/>
              <w:start w:w="90" w:type="dxa"/>
              <w:bottom w:w="80" w:type="dxa"/>
              <w:end w:w="90" w:type="dxa"/>
            </w:tcMar>
            <w:shd w:fill="F6F8F6"/>
          </w:tcPr>
          <w:p>
            <w:pPr>
              <w:spacing w:after="40" w:before="20"/>
            </w:pPr>
            <w:r>
              <w:rPr>
                <w:rFonts w:ascii="Aptos" w:hAnsi="Aptos"/>
                <w:sz w:val="17"/>
              </w:rPr>
              <w:t>Translate broad aims into a 90-day plan and 3-5 measurable outcomes.</w:t>
            </w:r>
          </w:p>
        </w:tc>
      </w:tr>
      <w:tr>
        <w:tc>
          <w:tcPr>
            <w:tcW w:type="dxa" w:w="3168"/>
            <w:vAlign w:val="center"/>
            <w:tcMar>
              <w:top w:w="80" w:type="dxa"/>
              <w:start w:w="90" w:type="dxa"/>
              <w:bottom w:w="80" w:type="dxa"/>
              <w:end w:w="90" w:type="dxa"/>
            </w:tcMar>
          </w:tcPr>
          <w:p>
            <w:pPr>
              <w:spacing w:after="40" w:before="20"/>
            </w:pPr>
            <w:r>
              <w:rPr>
                <w:rFonts w:ascii="Aptos" w:hAnsi="Aptos"/>
                <w:sz w:val="17"/>
              </w:rPr>
              <w:t>Share practical experience</w:t>
            </w:r>
          </w:p>
        </w:tc>
        <w:tc>
          <w:tcPr>
            <w:tcW w:type="dxa" w:w="6912"/>
            <w:vAlign w:val="center"/>
            <w:tcMar>
              <w:top w:w="80" w:type="dxa"/>
              <w:start w:w="90" w:type="dxa"/>
              <w:bottom w:w="80" w:type="dxa"/>
              <w:end w:w="90" w:type="dxa"/>
            </w:tcMar>
          </w:tcPr>
          <w:p>
            <w:pPr>
              <w:spacing w:after="40" w:before="20"/>
            </w:pPr>
            <w:r>
              <w:rPr>
                <w:rFonts w:ascii="Aptos" w:hAnsi="Aptos"/>
                <w:sz w:val="17"/>
              </w:rPr>
              <w:t>Discuss practice models, workflows, documentation habits, referral decisions, fee structures, insurance participation, and professional networks.</w:t>
            </w:r>
          </w:p>
        </w:tc>
      </w:tr>
      <w:tr>
        <w:tc>
          <w:tcPr>
            <w:tcW w:type="dxa" w:w="3168"/>
            <w:vAlign w:val="center"/>
            <w:tcMar>
              <w:top w:w="80" w:type="dxa"/>
              <w:start w:w="90" w:type="dxa"/>
              <w:bottom w:w="80" w:type="dxa"/>
              <w:end w:w="90" w:type="dxa"/>
            </w:tcMar>
            <w:shd w:fill="F6F8F6"/>
          </w:tcPr>
          <w:p>
            <w:pPr>
              <w:spacing w:after="40" w:before="20"/>
            </w:pPr>
            <w:r>
              <w:rPr>
                <w:rFonts w:ascii="Aptos" w:hAnsi="Aptos"/>
                <w:sz w:val="17"/>
              </w:rPr>
              <w:t>Promote safe clinical judgment</w:t>
            </w:r>
          </w:p>
        </w:tc>
        <w:tc>
          <w:tcPr>
            <w:tcW w:type="dxa" w:w="6912"/>
            <w:vAlign w:val="center"/>
            <w:tcMar>
              <w:top w:w="80" w:type="dxa"/>
              <w:start w:w="90" w:type="dxa"/>
              <w:bottom w:w="80" w:type="dxa"/>
              <w:end w:w="90" w:type="dxa"/>
            </w:tcMar>
            <w:shd w:fill="F6F8F6"/>
          </w:tcPr>
          <w:p>
            <w:pPr>
              <w:spacing w:after="40" w:before="20"/>
            </w:pPr>
            <w:r>
              <w:rPr>
                <w:rFonts w:ascii="Aptos" w:hAnsi="Aptos"/>
                <w:sz w:val="17"/>
              </w:rPr>
              <w:t>Use de-identified scenarios to explore differential diagnosis, red flags, scope limits, referral, and communication; make clear the mentee remains responsible for patient care.</w:t>
            </w:r>
          </w:p>
        </w:tc>
      </w:tr>
      <w:tr>
        <w:tc>
          <w:tcPr>
            <w:tcW w:type="dxa" w:w="3168"/>
            <w:vAlign w:val="center"/>
            <w:tcMar>
              <w:top w:w="80" w:type="dxa"/>
              <w:start w:w="90" w:type="dxa"/>
              <w:bottom w:w="80" w:type="dxa"/>
              <w:end w:w="90" w:type="dxa"/>
            </w:tcMar>
          </w:tcPr>
          <w:p>
            <w:pPr>
              <w:spacing w:after="40" w:before="20"/>
            </w:pPr>
            <w:r>
              <w:rPr>
                <w:rFonts w:ascii="Aptos" w:hAnsi="Aptos"/>
                <w:sz w:val="17"/>
              </w:rPr>
              <w:t>Model professionalism</w:t>
            </w:r>
          </w:p>
        </w:tc>
        <w:tc>
          <w:tcPr>
            <w:tcW w:type="dxa" w:w="6912"/>
            <w:vAlign w:val="center"/>
            <w:tcMar>
              <w:top w:w="80" w:type="dxa"/>
              <w:start w:w="90" w:type="dxa"/>
              <w:bottom w:w="80" w:type="dxa"/>
              <w:end w:w="90" w:type="dxa"/>
            </w:tcMar>
          </w:tcPr>
          <w:p>
            <w:pPr>
              <w:spacing w:after="40" w:before="20"/>
            </w:pPr>
            <w:r>
              <w:rPr>
                <w:rFonts w:ascii="Aptos" w:hAnsi="Aptos"/>
                <w:sz w:val="17"/>
              </w:rPr>
              <w:t>Demonstrate ethical marketing, informed consent, boundaries, recordkeeping, cultural humility, and respectful collaboration.</w:t>
            </w:r>
          </w:p>
        </w:tc>
      </w:tr>
      <w:tr>
        <w:tc>
          <w:tcPr>
            <w:tcW w:type="dxa" w:w="3168"/>
            <w:vAlign w:val="center"/>
            <w:tcMar>
              <w:top w:w="80" w:type="dxa"/>
              <w:start w:w="90" w:type="dxa"/>
              <w:bottom w:w="80" w:type="dxa"/>
              <w:end w:w="90" w:type="dxa"/>
            </w:tcMar>
            <w:shd w:fill="F6F8F6"/>
          </w:tcPr>
          <w:p>
            <w:pPr>
              <w:spacing w:after="40" w:before="20"/>
            </w:pPr>
            <w:r>
              <w:rPr>
                <w:rFonts w:ascii="Aptos" w:hAnsi="Aptos"/>
                <w:sz w:val="17"/>
              </w:rPr>
              <w:t>Connect resources</w:t>
            </w:r>
          </w:p>
        </w:tc>
        <w:tc>
          <w:tcPr>
            <w:tcW w:type="dxa" w:w="6912"/>
            <w:vAlign w:val="center"/>
            <w:tcMar>
              <w:top w:w="80" w:type="dxa"/>
              <w:start w:w="90" w:type="dxa"/>
              <w:bottom w:w="80" w:type="dxa"/>
              <w:end w:w="90" w:type="dxa"/>
            </w:tcMar>
            <w:shd w:fill="F6F8F6"/>
          </w:tcPr>
          <w:p>
            <w:pPr>
              <w:spacing w:after="40" w:before="20"/>
            </w:pPr>
            <w:r>
              <w:rPr>
                <w:rFonts w:ascii="Aptos" w:hAnsi="Aptos"/>
                <w:sz w:val="17"/>
              </w:rPr>
              <w:t>Introduce state association, school alumni, CE, billing, legal/accounting, or specialty resources without guaranteeing their services.</w:t>
            </w:r>
          </w:p>
        </w:tc>
      </w:tr>
      <w:tr>
        <w:tc>
          <w:tcPr>
            <w:tcW w:type="dxa" w:w="3168"/>
            <w:vAlign w:val="center"/>
            <w:tcMar>
              <w:top w:w="80" w:type="dxa"/>
              <w:start w:w="90" w:type="dxa"/>
              <w:bottom w:w="80" w:type="dxa"/>
              <w:end w:w="90" w:type="dxa"/>
            </w:tcMar>
          </w:tcPr>
          <w:p>
            <w:pPr>
              <w:spacing w:after="40" w:before="20"/>
            </w:pPr>
            <w:r>
              <w:rPr>
                <w:rFonts w:ascii="Aptos" w:hAnsi="Aptos"/>
                <w:sz w:val="17"/>
              </w:rPr>
              <w:t>Document participation</w:t>
            </w:r>
          </w:p>
        </w:tc>
        <w:tc>
          <w:tcPr>
            <w:tcW w:type="dxa" w:w="6912"/>
            <w:vAlign w:val="center"/>
            <w:tcMar>
              <w:top w:w="80" w:type="dxa"/>
              <w:start w:w="90" w:type="dxa"/>
              <w:bottom w:w="80" w:type="dxa"/>
              <w:end w:w="90" w:type="dxa"/>
            </w:tcMar>
          </w:tcPr>
          <w:p>
            <w:pPr>
              <w:spacing w:after="40" w:before="20"/>
            </w:pPr>
            <w:r>
              <w:rPr>
                <w:rFonts w:ascii="Aptos" w:hAnsi="Aptos"/>
                <w:sz w:val="17"/>
              </w:rPr>
              <w:t>Confirm meetings occurred and complete short check-ins; do not create a patient chart or detailed surveillance record.</w:t>
            </w:r>
          </w:p>
        </w:tc>
      </w:tr>
      <w:tr>
        <w:tc>
          <w:tcPr>
            <w:tcW w:type="dxa" w:w="3168"/>
            <w:vAlign w:val="center"/>
            <w:tcMar>
              <w:top w:w="80" w:type="dxa"/>
              <w:start w:w="90" w:type="dxa"/>
              <w:bottom w:w="80" w:type="dxa"/>
              <w:end w:w="90" w:type="dxa"/>
            </w:tcMar>
            <w:shd w:fill="F6F8F6"/>
          </w:tcPr>
          <w:p>
            <w:pPr>
              <w:spacing w:after="40" w:before="20"/>
            </w:pPr>
            <w:r>
              <w:rPr>
                <w:rFonts w:ascii="Aptos" w:hAnsi="Aptos"/>
                <w:sz w:val="17"/>
              </w:rPr>
              <w:t>Escalate concerns</w:t>
            </w:r>
          </w:p>
        </w:tc>
        <w:tc>
          <w:tcPr>
            <w:tcW w:type="dxa" w:w="6912"/>
            <w:vAlign w:val="center"/>
            <w:tcMar>
              <w:top w:w="80" w:type="dxa"/>
              <w:start w:w="90" w:type="dxa"/>
              <w:bottom w:w="80" w:type="dxa"/>
              <w:end w:w="90" w:type="dxa"/>
            </w:tcMar>
            <w:shd w:fill="F6F8F6"/>
          </w:tcPr>
          <w:p>
            <w:pPr>
              <w:spacing w:after="40" w:before="20"/>
            </w:pPr>
            <w:r>
              <w:rPr>
                <w:rFonts w:ascii="Aptos" w:hAnsi="Aptos"/>
                <w:sz w:val="17"/>
              </w:rPr>
              <w:t>Contact the program when there is a safety, impairment, harassment, exploitation, boundary, or licensure concern.</w:t>
            </w:r>
          </w:p>
        </w:tc>
      </w:tr>
    </w:tbl>
    <w:p>
      <w:pPr>
        <w:pStyle w:val="Heading2"/>
      </w:pPr>
      <w:r>
        <w:t>Mentor boundaries: what the role does not include</w:t>
      </w:r>
    </w:p>
    <w:p>
      <w:pPr>
        <w:pStyle w:val="ListBullet"/>
        <w:spacing w:after="50"/>
      </w:pPr>
      <w:r>
        <w:t>Directing or taking responsibility for a mentee's treatment of a specific patient.</w:t>
      </w:r>
    </w:p>
    <w:p>
      <w:pPr>
        <w:pStyle w:val="ListBullet"/>
        <w:spacing w:after="50"/>
      </w:pPr>
      <w:r>
        <w:t>Reviewing identifiable patient information unless a separate lawful, secure consultation arrangement exists.</w:t>
      </w:r>
    </w:p>
    <w:p>
      <w:pPr>
        <w:pStyle w:val="ListBullet"/>
        <w:spacing w:after="50"/>
      </w:pPr>
      <w:r>
        <w:t>Guaranteeing that a chart, claim, code, advertisement, contract, or business practice is legally compliant or payable.</w:t>
      </w:r>
    </w:p>
    <w:p>
      <w:pPr>
        <w:pStyle w:val="ListBullet"/>
        <w:spacing w:after="50"/>
      </w:pPr>
      <w:r>
        <w:t>Providing legal, tax, accounting, employment, or mental-health treatment unless separately qualified and retained.</w:t>
      </w:r>
    </w:p>
    <w:p>
      <w:pPr>
        <w:pStyle w:val="ListBullet"/>
        <w:spacing w:after="50"/>
      </w:pPr>
      <w:r>
        <w:t>Allowing a student or unlicensed graduate to needle, prescribe, diagnose, or practice outside an approved educational and state-law framework.</w:t>
      </w:r>
    </w:p>
    <w:p>
      <w:pPr>
        <w:pStyle w:val="ListBullet"/>
        <w:spacing w:after="50"/>
      </w:pPr>
      <w:r>
        <w:t>Offering emergency consultation or substituting for the mentee's required clinical supervisor, medical referral, or emergency services.</w:t>
      </w:r>
    </w:p>
    <w:p>
      <w:pPr>
        <w:pStyle w:val="ListBullet"/>
        <w:spacing w:after="50"/>
      </w:pPr>
      <w:r>
        <w:t>Entering financial transactions, fee-splitting, product sales, or employment arrangements without disclosure and a separate written agreement.</w:t>
      </w:r>
    </w:p>
    <w:p>
      <w:pPr>
        <w:pStyle w:val="Heading1"/>
      </w:pPr>
      <w:r>
        <w:t>5. Mentee qualifications and duties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vAlign w:val="center"/>
            <w:tcMar>
              <w:top w:w="80" w:type="dxa"/>
              <w:start w:w="90" w:type="dxa"/>
              <w:bottom w:w="80" w:type="dxa"/>
              <w:end w:w="90" w:type="dxa"/>
            </w:tcMar>
            <w:shd w:fill="2E6B3A"/>
          </w:tcPr>
          <w:p>
            <w:pPr>
              <w:spacing w:after="40" w:before="20"/>
            </w:pPr>
            <w:r>
              <w:rPr>
                <w:rFonts w:ascii="Aptos" w:hAnsi="Aptos"/>
                <w:b/>
                <w:color w:val="FFFFFF"/>
                <w:sz w:val="18"/>
              </w:rPr>
              <w:t>The mentee agrees to</w:t>
            </w:r>
          </w:p>
        </w:tc>
        <w:tc>
          <w:tcPr>
            <w:tcW w:type="dxa" w:w="6912"/>
            <w:vAlign w:val="center"/>
            <w:tcMar>
              <w:top w:w="80" w:type="dxa"/>
              <w:start w:w="90" w:type="dxa"/>
              <w:bottom w:w="80" w:type="dxa"/>
              <w:end w:w="90" w:type="dxa"/>
            </w:tcMar>
            <w:shd w:fill="2E6B3A"/>
          </w:tcPr>
          <w:p>
            <w:pPr>
              <w:spacing w:after="40" w:before="20"/>
            </w:pPr>
            <w:r>
              <w:rPr>
                <w:rFonts w:ascii="Aptos" w:hAnsi="Aptos"/>
                <w:b/>
                <w:color w:val="FFFFFF"/>
                <w:sz w:val="18"/>
              </w:rPr>
              <w:t>Standard</w:t>
            </w:r>
          </w:p>
        </w:tc>
      </w:tr>
      <w:tr>
        <w:tc>
          <w:tcPr>
            <w:tcW w:type="dxa" w:w="3168"/>
            <w:vAlign w:val="center"/>
            <w:tcMar>
              <w:top w:w="80" w:type="dxa"/>
              <w:start w:w="90" w:type="dxa"/>
              <w:bottom w:w="80" w:type="dxa"/>
              <w:end w:w="90" w:type="dxa"/>
            </w:tcMar>
          </w:tcPr>
          <w:p>
            <w:pPr>
              <w:spacing w:after="40" w:before="20"/>
            </w:pPr>
            <w:r>
              <w:rPr>
                <w:rFonts w:ascii="Aptos" w:hAnsi="Aptos"/>
                <w:sz w:val="18"/>
              </w:rPr>
              <w:t>Own the relationship</w:t>
            </w:r>
          </w:p>
        </w:tc>
        <w:tc>
          <w:tcPr>
            <w:tcW w:type="dxa" w:w="6912"/>
            <w:vAlign w:val="center"/>
            <w:tcMar>
              <w:top w:w="80" w:type="dxa"/>
              <w:start w:w="90" w:type="dxa"/>
              <w:bottom w:w="80" w:type="dxa"/>
              <w:end w:w="90" w:type="dxa"/>
            </w:tcMar>
          </w:tcPr>
          <w:p>
            <w:pPr>
              <w:spacing w:after="40" w:before="20"/>
            </w:pPr>
            <w:r>
              <w:rPr>
                <w:rFonts w:ascii="Aptos" w:hAnsi="Aptos"/>
                <w:sz w:val="18"/>
              </w:rPr>
              <w:t>Schedule meetings, send an agenda, track commitments, ask questions, and communicate promptly.</w:t>
            </w:r>
          </w:p>
        </w:tc>
      </w:tr>
      <w:tr>
        <w:tc>
          <w:tcPr>
            <w:tcW w:type="dxa" w:w="3168"/>
            <w:vAlign w:val="center"/>
            <w:tcMar>
              <w:top w:w="80" w:type="dxa"/>
              <w:start w:w="90" w:type="dxa"/>
              <w:bottom w:w="80" w:type="dxa"/>
              <w:end w:w="90" w:type="dxa"/>
            </w:tcMar>
            <w:shd w:fill="F6F8F6"/>
          </w:tcPr>
          <w:p>
            <w:pPr>
              <w:spacing w:after="40" w:before="20"/>
            </w:pPr>
            <w:r>
              <w:rPr>
                <w:rFonts w:ascii="Aptos" w:hAnsi="Aptos"/>
                <w:sz w:val="18"/>
              </w:rPr>
              <w:t>Practice within authority</w:t>
            </w:r>
          </w:p>
        </w:tc>
        <w:tc>
          <w:tcPr>
            <w:tcW w:type="dxa" w:w="6912"/>
            <w:vAlign w:val="center"/>
            <w:tcMar>
              <w:top w:w="80" w:type="dxa"/>
              <w:start w:w="90" w:type="dxa"/>
              <w:bottom w:w="80" w:type="dxa"/>
              <w:end w:w="90" w:type="dxa"/>
            </w:tcMar>
            <w:shd w:fill="F6F8F6"/>
          </w:tcPr>
          <w:p>
            <w:pPr>
              <w:spacing w:after="40" w:before="20"/>
            </w:pPr>
            <w:r>
              <w:rPr>
                <w:rFonts w:ascii="Aptos" w:hAnsi="Aptos"/>
                <w:sz w:val="18"/>
              </w:rPr>
              <w:t>Maintain required license/certification/insurance and independently verify state scope, supervision, and billing rules.</w:t>
            </w:r>
          </w:p>
        </w:tc>
      </w:tr>
      <w:tr>
        <w:tc>
          <w:tcPr>
            <w:tcW w:type="dxa" w:w="3168"/>
            <w:vAlign w:val="center"/>
            <w:tcMar>
              <w:top w:w="80" w:type="dxa"/>
              <w:start w:w="90" w:type="dxa"/>
              <w:bottom w:w="80" w:type="dxa"/>
              <w:end w:w="90" w:type="dxa"/>
            </w:tcMar>
          </w:tcPr>
          <w:p>
            <w:pPr>
              <w:spacing w:after="40" w:before="20"/>
            </w:pPr>
            <w:r>
              <w:rPr>
                <w:rFonts w:ascii="Aptos" w:hAnsi="Aptos"/>
                <w:sz w:val="18"/>
              </w:rPr>
              <w:t>Protect patients</w:t>
            </w:r>
          </w:p>
        </w:tc>
        <w:tc>
          <w:tcPr>
            <w:tcW w:type="dxa" w:w="6912"/>
            <w:vAlign w:val="center"/>
            <w:tcMar>
              <w:top w:w="80" w:type="dxa"/>
              <w:start w:w="90" w:type="dxa"/>
              <w:bottom w:w="80" w:type="dxa"/>
              <w:end w:w="90" w:type="dxa"/>
            </w:tcMar>
          </w:tcPr>
          <w:p>
            <w:pPr>
              <w:spacing w:after="40" w:before="20"/>
            </w:pPr>
            <w:r>
              <w:rPr>
                <w:rFonts w:ascii="Aptos" w:hAnsi="Aptos"/>
                <w:sz w:val="18"/>
              </w:rPr>
              <w:t>Use hypothetical or properly de-identified cases; never send charts, photos, names, dates of birth, or other patient identifiers through ordinary channels.</w:t>
            </w:r>
          </w:p>
        </w:tc>
      </w:tr>
      <w:tr>
        <w:tc>
          <w:tcPr>
            <w:tcW w:type="dxa" w:w="3168"/>
            <w:vAlign w:val="center"/>
            <w:tcMar>
              <w:top w:w="80" w:type="dxa"/>
              <w:start w:w="90" w:type="dxa"/>
              <w:bottom w:w="80" w:type="dxa"/>
              <w:end w:w="90" w:type="dxa"/>
            </w:tcMar>
            <w:shd w:fill="F6F8F6"/>
          </w:tcPr>
          <w:p>
            <w:pPr>
              <w:spacing w:after="40" w:before="20"/>
            </w:pPr>
            <w:r>
              <w:rPr>
                <w:rFonts w:ascii="Aptos" w:hAnsi="Aptos"/>
                <w:sz w:val="18"/>
              </w:rPr>
              <w:t>Receive feedback professionally</w:t>
            </w:r>
          </w:p>
        </w:tc>
        <w:tc>
          <w:tcPr>
            <w:tcW w:type="dxa" w:w="6912"/>
            <w:vAlign w:val="center"/>
            <w:tcMar>
              <w:top w:w="80" w:type="dxa"/>
              <w:start w:w="90" w:type="dxa"/>
              <w:bottom w:w="80" w:type="dxa"/>
              <w:end w:w="90" w:type="dxa"/>
            </w:tcMar>
            <w:shd w:fill="F6F8F6"/>
          </w:tcPr>
          <w:p>
            <w:pPr>
              <w:spacing w:after="40" w:before="20"/>
            </w:pPr>
            <w:r>
              <w:rPr>
                <w:rFonts w:ascii="Aptos" w:hAnsi="Aptos"/>
                <w:sz w:val="18"/>
              </w:rPr>
              <w:t>Listen, ask clarifying questions, reflect, and decide responsibly; disagreement is permitted.</w:t>
            </w:r>
          </w:p>
        </w:tc>
      </w:tr>
      <w:tr>
        <w:tc>
          <w:tcPr>
            <w:tcW w:type="dxa" w:w="3168"/>
            <w:vAlign w:val="center"/>
            <w:tcMar>
              <w:top w:w="80" w:type="dxa"/>
              <w:start w:w="90" w:type="dxa"/>
              <w:bottom w:w="80" w:type="dxa"/>
              <w:end w:w="90" w:type="dxa"/>
            </w:tcMar>
          </w:tcPr>
          <w:p>
            <w:pPr>
              <w:spacing w:after="40" w:before="20"/>
            </w:pPr>
            <w:r>
              <w:rPr>
                <w:rFonts w:ascii="Aptos" w:hAnsi="Aptos"/>
                <w:sz w:val="18"/>
              </w:rPr>
              <w:t>Follow through</w:t>
            </w:r>
          </w:p>
        </w:tc>
        <w:tc>
          <w:tcPr>
            <w:tcW w:type="dxa" w:w="6912"/>
            <w:vAlign w:val="center"/>
            <w:tcMar>
              <w:top w:w="80" w:type="dxa"/>
              <w:start w:w="90" w:type="dxa"/>
              <w:bottom w:w="80" w:type="dxa"/>
              <w:end w:w="90" w:type="dxa"/>
            </w:tcMar>
          </w:tcPr>
          <w:p>
            <w:pPr>
              <w:spacing w:after="40" w:before="20"/>
            </w:pPr>
            <w:r>
              <w:rPr>
                <w:rFonts w:ascii="Aptos" w:hAnsi="Aptos"/>
                <w:sz w:val="18"/>
              </w:rPr>
              <w:t>Complete agreed action items or explain barriers at the next meeting.</w:t>
            </w:r>
          </w:p>
        </w:tc>
      </w:tr>
      <w:tr>
        <w:tc>
          <w:tcPr>
            <w:tcW w:type="dxa" w:w="3168"/>
            <w:vAlign w:val="center"/>
            <w:tcMar>
              <w:top w:w="80" w:type="dxa"/>
              <w:start w:w="90" w:type="dxa"/>
              <w:bottom w:w="80" w:type="dxa"/>
              <w:end w:w="90" w:type="dxa"/>
            </w:tcMar>
            <w:shd w:fill="F6F8F6"/>
          </w:tcPr>
          <w:p>
            <w:pPr>
              <w:spacing w:after="40" w:before="20"/>
            </w:pPr>
            <w:r>
              <w:rPr>
                <w:rFonts w:ascii="Aptos" w:hAnsi="Aptos"/>
                <w:sz w:val="18"/>
              </w:rPr>
              <w:t>Disclose limits</w:t>
            </w:r>
          </w:p>
        </w:tc>
        <w:tc>
          <w:tcPr>
            <w:tcW w:type="dxa" w:w="6912"/>
            <w:vAlign w:val="center"/>
            <w:tcMar>
              <w:top w:w="80" w:type="dxa"/>
              <w:start w:w="90" w:type="dxa"/>
              <w:bottom w:w="80" w:type="dxa"/>
              <w:end w:w="90" w:type="dxa"/>
            </w:tcMar>
            <w:shd w:fill="F6F8F6"/>
          </w:tcPr>
          <w:p>
            <w:pPr>
              <w:spacing w:after="40" w:before="20"/>
            </w:pPr>
            <w:r>
              <w:rPr>
                <w:rFonts w:ascii="Aptos" w:hAnsi="Aptos"/>
                <w:sz w:val="18"/>
              </w:rPr>
              <w:t>Tell the mentor when a question exceeds current competence or involves urgent risk, impairment, litigation, discipline, or a complaint.</w:t>
            </w:r>
          </w:p>
        </w:tc>
      </w:tr>
      <w:tr>
        <w:tc>
          <w:tcPr>
            <w:tcW w:type="dxa" w:w="3168"/>
            <w:vAlign w:val="center"/>
            <w:tcMar>
              <w:top w:w="80" w:type="dxa"/>
              <w:start w:w="90" w:type="dxa"/>
              <w:bottom w:w="80" w:type="dxa"/>
              <w:end w:w="90" w:type="dxa"/>
            </w:tcMar>
          </w:tcPr>
          <w:p>
            <w:pPr>
              <w:spacing w:after="40" w:before="20"/>
            </w:pPr>
            <w:r>
              <w:rPr>
                <w:rFonts w:ascii="Aptos" w:hAnsi="Aptos"/>
                <w:sz w:val="18"/>
              </w:rPr>
              <w:t>Respect time and boundaries</w:t>
            </w:r>
          </w:p>
        </w:tc>
        <w:tc>
          <w:tcPr>
            <w:tcW w:type="dxa" w:w="6912"/>
            <w:vAlign w:val="center"/>
            <w:tcMar>
              <w:top w:w="80" w:type="dxa"/>
              <w:start w:w="90" w:type="dxa"/>
              <w:bottom w:w="80" w:type="dxa"/>
              <w:end w:w="90" w:type="dxa"/>
            </w:tcMar>
          </w:tcPr>
          <w:p>
            <w:pPr>
              <w:spacing w:after="40" w:before="20"/>
            </w:pPr>
            <w:r>
              <w:rPr>
                <w:rFonts w:ascii="Aptos" w:hAnsi="Aptos"/>
                <w:sz w:val="18"/>
              </w:rPr>
              <w:t>Use as-needed access sparingly; do not expect immediate responses or uncompensated extensive work.</w:t>
            </w:r>
          </w:p>
        </w:tc>
      </w:tr>
      <w:tr>
        <w:tc>
          <w:tcPr>
            <w:tcW w:type="dxa" w:w="3168"/>
            <w:vAlign w:val="center"/>
            <w:tcMar>
              <w:top w:w="80" w:type="dxa"/>
              <w:start w:w="90" w:type="dxa"/>
              <w:bottom w:w="80" w:type="dxa"/>
              <w:end w:w="90" w:type="dxa"/>
            </w:tcMar>
            <w:shd w:fill="F6F8F6"/>
          </w:tcPr>
          <w:p>
            <w:pPr>
              <w:spacing w:after="40" w:before="20"/>
            </w:pPr>
            <w:r>
              <w:rPr>
                <w:rFonts w:ascii="Aptos" w:hAnsi="Aptos"/>
                <w:sz w:val="18"/>
              </w:rPr>
              <w:t>Evaluate the program</w:t>
            </w:r>
          </w:p>
        </w:tc>
        <w:tc>
          <w:tcPr>
            <w:tcW w:type="dxa" w:w="6912"/>
            <w:vAlign w:val="center"/>
            <w:tcMar>
              <w:top w:w="80" w:type="dxa"/>
              <w:start w:w="90" w:type="dxa"/>
              <w:bottom w:w="80" w:type="dxa"/>
              <w:end w:w="90" w:type="dxa"/>
            </w:tcMar>
            <w:shd w:fill="F6F8F6"/>
          </w:tcPr>
          <w:p>
            <w:pPr>
              <w:spacing w:after="40" w:before="20"/>
            </w:pPr>
            <w:r>
              <w:rPr>
                <w:rFonts w:ascii="Aptos" w:hAnsi="Aptos"/>
                <w:sz w:val="18"/>
              </w:rPr>
              <w:t>Complete check-ins and provide candid feedback without retaliation.</w:t>
            </w:r>
          </w:p>
        </w:tc>
      </w:tr>
    </w:tbl>
    <w:p>
      <w:pPr>
        <w:pStyle w:val="Heading1"/>
      </w:pPr>
      <w:r>
        <w:t>6. State-by-state matching</w:t>
      </w:r>
    </w:p>
    <w:p>
      <w:r>
        <w:t>State matching matters because acupuncture licensure, herbal authority, title usage, supervision, insurance rules, and other practice requirements vary. NCBAHM advises applicants to verify each state's requirements with the state regulatory agency; its interactive map links to those agencies.[5]</w:t>
      </w:r>
    </w:p>
    <w:p>
      <w:pPr>
        <w:pStyle w:val="Heading2"/>
      </w:pPr>
      <w:r>
        <w:t>Matching priorities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936"/>
            <w:vAlign w:val="center"/>
            <w:tcMar>
              <w:top w:w="80" w:type="dxa"/>
              <w:start w:w="90" w:type="dxa"/>
              <w:bottom w:w="80" w:type="dxa"/>
              <w:end w:w="90" w:type="dxa"/>
            </w:tcMar>
            <w:shd w:fill="2E6B3A"/>
          </w:tcPr>
          <w:p>
            <w:pPr>
              <w:spacing w:after="40" w:before="20"/>
            </w:pPr>
            <w:r>
              <w:rPr>
                <w:rFonts w:ascii="Aptos" w:hAnsi="Aptos"/>
                <w:b/>
                <w:color w:val="FFFFFF"/>
                <w:sz w:val="18"/>
              </w:rPr>
              <w:t>Priority</w:t>
            </w:r>
          </w:p>
        </w:tc>
        <w:tc>
          <w:tcPr>
            <w:tcW w:type="dxa" w:w="2448"/>
            <w:vAlign w:val="center"/>
            <w:tcMar>
              <w:top w:w="80" w:type="dxa"/>
              <w:start w:w="90" w:type="dxa"/>
              <w:bottom w:w="80" w:type="dxa"/>
              <w:end w:w="90" w:type="dxa"/>
            </w:tcMar>
            <w:shd w:fill="2E6B3A"/>
          </w:tcPr>
          <w:p>
            <w:pPr>
              <w:spacing w:after="40" w:before="20"/>
            </w:pPr>
            <w:r>
              <w:rPr>
                <w:rFonts w:ascii="Aptos" w:hAnsi="Aptos"/>
                <w:b/>
                <w:color w:val="FFFFFF"/>
                <w:sz w:val="18"/>
              </w:rPr>
              <w:t>Match factor</w:t>
            </w:r>
          </w:p>
        </w:tc>
        <w:tc>
          <w:tcPr>
            <w:tcW w:type="dxa" w:w="6696"/>
            <w:vAlign w:val="center"/>
            <w:tcMar>
              <w:top w:w="80" w:type="dxa"/>
              <w:start w:w="90" w:type="dxa"/>
              <w:bottom w:w="80" w:type="dxa"/>
              <w:end w:w="90" w:type="dxa"/>
            </w:tcMar>
            <w:shd w:fill="2E6B3A"/>
          </w:tcPr>
          <w:p>
            <w:pPr>
              <w:spacing w:after="40" w:before="20"/>
            </w:pPr>
            <w:r>
              <w:rPr>
                <w:rFonts w:ascii="Aptos" w:hAnsi="Aptos"/>
                <w:b/>
                <w:color w:val="FFFFFF"/>
                <w:sz w:val="18"/>
              </w:rPr>
              <w:t>Why it matters</w:t>
            </w:r>
          </w:p>
        </w:tc>
      </w:tr>
      <w:tr>
        <w:tc>
          <w:tcPr>
            <w:tcW w:type="dxa" w:w="936"/>
            <w:vAlign w:val="center"/>
            <w:tcMar>
              <w:top w:w="80" w:type="dxa"/>
              <w:start w:w="90" w:type="dxa"/>
              <w:bottom w:w="80" w:type="dxa"/>
              <w:end w:w="90" w:type="dxa"/>
            </w:tcMar>
          </w:tcPr>
          <w:p>
            <w:pPr>
              <w:spacing w:after="40" w:before="20"/>
            </w:pPr>
            <w:r>
              <w:rPr>
                <w:rFonts w:ascii="Aptos" w:hAnsi="Aptos"/>
                <w:sz w:val="18"/>
              </w:rPr>
              <w:t>1</w:t>
            </w:r>
          </w:p>
        </w:tc>
        <w:tc>
          <w:tcPr>
            <w:tcW w:type="dxa" w:w="2448"/>
            <w:vAlign w:val="center"/>
            <w:tcMar>
              <w:top w:w="80" w:type="dxa"/>
              <w:start w:w="90" w:type="dxa"/>
              <w:bottom w:w="80" w:type="dxa"/>
              <w:end w:w="90" w:type="dxa"/>
            </w:tcMar>
          </w:tcPr>
          <w:p>
            <w:pPr>
              <w:spacing w:after="40" w:before="20"/>
            </w:pPr>
            <w:r>
              <w:rPr>
                <w:rFonts w:ascii="Aptos" w:hAnsi="Aptos"/>
                <w:sz w:val="18"/>
              </w:rPr>
              <w:t>Same state</w:t>
            </w:r>
          </w:p>
        </w:tc>
        <w:tc>
          <w:tcPr>
            <w:tcW w:type="dxa" w:w="6696"/>
            <w:vAlign w:val="center"/>
            <w:tcMar>
              <w:top w:w="80" w:type="dxa"/>
              <w:start w:w="90" w:type="dxa"/>
              <w:bottom w:w="80" w:type="dxa"/>
              <w:end w:w="90" w:type="dxa"/>
            </w:tcMar>
          </w:tcPr>
          <w:p>
            <w:pPr>
              <w:spacing w:after="40" w:before="20"/>
            </w:pPr>
            <w:r>
              <w:rPr>
                <w:rFonts w:ascii="Aptos" w:hAnsi="Aptos"/>
                <w:sz w:val="18"/>
              </w:rPr>
              <w:t>Highest priority for scope, licensure, referrals, local networks, payer realities, and employment context.</w:t>
            </w:r>
          </w:p>
        </w:tc>
      </w:tr>
      <w:tr>
        <w:tc>
          <w:tcPr>
            <w:tcW w:type="dxa" w:w="936"/>
            <w:vAlign w:val="center"/>
            <w:tcMar>
              <w:top w:w="80" w:type="dxa"/>
              <w:start w:w="90" w:type="dxa"/>
              <w:bottom w:w="80" w:type="dxa"/>
              <w:end w:w="90" w:type="dxa"/>
            </w:tcMar>
            <w:shd w:fill="F6F8F6"/>
          </w:tcPr>
          <w:p>
            <w:pPr>
              <w:spacing w:after="40" w:before="20"/>
            </w:pPr>
            <w:r>
              <w:rPr>
                <w:rFonts w:ascii="Aptos" w:hAnsi="Aptos"/>
                <w:sz w:val="18"/>
              </w:rPr>
              <w:t>2</w:t>
            </w:r>
          </w:p>
        </w:tc>
        <w:tc>
          <w:tcPr>
            <w:tcW w:type="dxa" w:w="2448"/>
            <w:vAlign w:val="center"/>
            <w:tcMar>
              <w:top w:w="80" w:type="dxa"/>
              <w:start w:w="90" w:type="dxa"/>
              <w:bottom w:w="80" w:type="dxa"/>
              <w:end w:w="90" w:type="dxa"/>
            </w:tcMar>
            <w:shd w:fill="F6F8F6"/>
          </w:tcPr>
          <w:p>
            <w:pPr>
              <w:spacing w:after="40" w:before="20"/>
            </w:pPr>
            <w:r>
              <w:rPr>
                <w:rFonts w:ascii="Aptos" w:hAnsi="Aptos"/>
                <w:sz w:val="18"/>
              </w:rPr>
              <w:t>Practice setting</w:t>
            </w:r>
          </w:p>
        </w:tc>
        <w:tc>
          <w:tcPr>
            <w:tcW w:type="dxa" w:w="6696"/>
            <w:vAlign w:val="center"/>
            <w:tcMar>
              <w:top w:w="80" w:type="dxa"/>
              <w:start w:w="90" w:type="dxa"/>
              <w:bottom w:w="80" w:type="dxa"/>
              <w:end w:w="90" w:type="dxa"/>
            </w:tcMar>
            <w:shd w:fill="F6F8F6"/>
          </w:tcPr>
          <w:p>
            <w:pPr>
              <w:spacing w:after="40" w:before="20"/>
            </w:pPr>
            <w:r>
              <w:rPr>
                <w:rFonts w:ascii="Aptos" w:hAnsi="Aptos"/>
                <w:sz w:val="18"/>
              </w:rPr>
              <w:t>Solo practice, multidisciplinary clinic, hospital, community acupuncture, VA/community care, academic, mobile, or employed practice.</w:t>
            </w:r>
          </w:p>
        </w:tc>
      </w:tr>
      <w:tr>
        <w:tc>
          <w:tcPr>
            <w:tcW w:type="dxa" w:w="936"/>
            <w:vAlign w:val="center"/>
            <w:tcMar>
              <w:top w:w="80" w:type="dxa"/>
              <w:start w:w="90" w:type="dxa"/>
              <w:bottom w:w="80" w:type="dxa"/>
              <w:end w:w="90" w:type="dxa"/>
            </w:tcMar>
          </w:tcPr>
          <w:p>
            <w:pPr>
              <w:spacing w:after="40" w:before="20"/>
            </w:pPr>
            <w:r>
              <w:rPr>
                <w:rFonts w:ascii="Aptos" w:hAnsi="Aptos"/>
                <w:sz w:val="18"/>
              </w:rPr>
              <w:t>3</w:t>
            </w:r>
          </w:p>
        </w:tc>
        <w:tc>
          <w:tcPr>
            <w:tcW w:type="dxa" w:w="2448"/>
            <w:vAlign w:val="center"/>
            <w:tcMar>
              <w:top w:w="80" w:type="dxa"/>
              <w:start w:w="90" w:type="dxa"/>
              <w:bottom w:w="80" w:type="dxa"/>
              <w:end w:w="90" w:type="dxa"/>
            </w:tcMar>
          </w:tcPr>
          <w:p>
            <w:pPr>
              <w:spacing w:after="40" w:before="20"/>
            </w:pPr>
            <w:r>
              <w:rPr>
                <w:rFonts w:ascii="Aptos" w:hAnsi="Aptos"/>
                <w:sz w:val="18"/>
              </w:rPr>
              <w:t>Clinical interests</w:t>
            </w:r>
          </w:p>
        </w:tc>
        <w:tc>
          <w:tcPr>
            <w:tcW w:type="dxa" w:w="6696"/>
            <w:vAlign w:val="center"/>
            <w:tcMar>
              <w:top w:w="80" w:type="dxa"/>
              <w:start w:w="90" w:type="dxa"/>
              <w:bottom w:w="80" w:type="dxa"/>
              <w:end w:w="90" w:type="dxa"/>
            </w:tcMar>
          </w:tcPr>
          <w:p>
            <w:pPr>
              <w:spacing w:after="40" w:before="20"/>
            </w:pPr>
            <w:r>
              <w:rPr>
                <w:rFonts w:ascii="Aptos" w:hAnsi="Aptos"/>
                <w:sz w:val="18"/>
              </w:rPr>
              <w:t>Pain/orthopedics, internal medicine, women's health, fertility, oncology support, behavioral health, pediatrics, geriatrics, sports, herbal medicine, etc.</w:t>
            </w:r>
          </w:p>
        </w:tc>
      </w:tr>
      <w:tr>
        <w:tc>
          <w:tcPr>
            <w:tcW w:type="dxa" w:w="936"/>
            <w:vAlign w:val="center"/>
            <w:tcMar>
              <w:top w:w="80" w:type="dxa"/>
              <w:start w:w="90" w:type="dxa"/>
              <w:bottom w:w="80" w:type="dxa"/>
              <w:end w:w="90" w:type="dxa"/>
            </w:tcMar>
            <w:shd w:fill="F6F8F6"/>
          </w:tcPr>
          <w:p>
            <w:pPr>
              <w:spacing w:after="40" w:before="20"/>
            </w:pPr>
            <w:r>
              <w:rPr>
                <w:rFonts w:ascii="Aptos" w:hAnsi="Aptos"/>
                <w:sz w:val="18"/>
              </w:rPr>
              <w:t>4</w:t>
            </w:r>
          </w:p>
        </w:tc>
        <w:tc>
          <w:tcPr>
            <w:tcW w:type="dxa" w:w="2448"/>
            <w:vAlign w:val="center"/>
            <w:tcMar>
              <w:top w:w="80" w:type="dxa"/>
              <w:start w:w="90" w:type="dxa"/>
              <w:bottom w:w="80" w:type="dxa"/>
              <w:end w:w="90" w:type="dxa"/>
            </w:tcMar>
            <w:shd w:fill="F6F8F6"/>
          </w:tcPr>
          <w:p>
            <w:pPr>
              <w:spacing w:after="40" w:before="20"/>
            </w:pPr>
            <w:r>
              <w:rPr>
                <w:rFonts w:ascii="Aptos" w:hAnsi="Aptos"/>
                <w:sz w:val="18"/>
              </w:rPr>
              <w:t>Career and business goals</w:t>
            </w:r>
          </w:p>
        </w:tc>
        <w:tc>
          <w:tcPr>
            <w:tcW w:type="dxa" w:w="6696"/>
            <w:vAlign w:val="center"/>
            <w:tcMar>
              <w:top w:w="80" w:type="dxa"/>
              <w:start w:w="90" w:type="dxa"/>
              <w:bottom w:w="80" w:type="dxa"/>
              <w:end w:w="90" w:type="dxa"/>
            </w:tcMar>
            <w:shd w:fill="F6F8F6"/>
          </w:tcPr>
          <w:p>
            <w:pPr>
              <w:spacing w:after="40" w:before="20"/>
            </w:pPr>
            <w:r>
              <w:rPr>
                <w:rFonts w:ascii="Aptos" w:hAnsi="Aptos"/>
                <w:sz w:val="18"/>
              </w:rPr>
              <w:t>Cash practice, insurance, workers' compensation, personal injury, VA, community care, teaching, leadership, or ownership.</w:t>
            </w:r>
          </w:p>
        </w:tc>
      </w:tr>
      <w:tr>
        <w:tc>
          <w:tcPr>
            <w:tcW w:type="dxa" w:w="936"/>
            <w:vAlign w:val="center"/>
            <w:tcMar>
              <w:top w:w="80" w:type="dxa"/>
              <w:start w:w="90" w:type="dxa"/>
              <w:bottom w:w="80" w:type="dxa"/>
              <w:end w:w="90" w:type="dxa"/>
            </w:tcMar>
          </w:tcPr>
          <w:p>
            <w:pPr>
              <w:spacing w:after="40" w:before="20"/>
            </w:pPr>
            <w:r>
              <w:rPr>
                <w:rFonts w:ascii="Aptos" w:hAnsi="Aptos"/>
                <w:sz w:val="18"/>
              </w:rPr>
              <w:t>5</w:t>
            </w:r>
          </w:p>
        </w:tc>
        <w:tc>
          <w:tcPr>
            <w:tcW w:type="dxa" w:w="2448"/>
            <w:vAlign w:val="center"/>
            <w:tcMar>
              <w:top w:w="80" w:type="dxa"/>
              <w:start w:w="90" w:type="dxa"/>
              <w:bottom w:w="80" w:type="dxa"/>
              <w:end w:w="90" w:type="dxa"/>
            </w:tcMar>
          </w:tcPr>
          <w:p>
            <w:pPr>
              <w:spacing w:after="40" w:before="20"/>
            </w:pPr>
            <w:r>
              <w:rPr>
                <w:rFonts w:ascii="Aptos" w:hAnsi="Aptos"/>
                <w:sz w:val="18"/>
              </w:rPr>
              <w:t>Compatibility</w:t>
            </w:r>
          </w:p>
        </w:tc>
        <w:tc>
          <w:tcPr>
            <w:tcW w:type="dxa" w:w="6696"/>
            <w:vAlign w:val="center"/>
            <w:tcMar>
              <w:top w:w="80" w:type="dxa"/>
              <w:start w:w="90" w:type="dxa"/>
              <w:bottom w:w="80" w:type="dxa"/>
              <w:end w:w="90" w:type="dxa"/>
            </w:tcMar>
          </w:tcPr>
          <w:p>
            <w:pPr>
              <w:spacing w:after="40" w:before="20"/>
            </w:pPr>
            <w:r>
              <w:rPr>
                <w:rFonts w:ascii="Aptos" w:hAnsi="Aptos"/>
                <w:sz w:val="18"/>
              </w:rPr>
              <w:t>Communication style, availability, languages, cultural background, identity preferences, accessibility needs, and conflicts of interest.</w:t>
            </w:r>
          </w:p>
        </w:tc>
      </w:tr>
    </w:tbl>
    <w:p>
      <w:pPr>
        <w:pStyle w:val="Heading2"/>
      </w:pPr>
      <w:r>
        <w:t>When no same-state mentor is available</w:t>
      </w:r>
    </w:p>
    <w:p>
      <w:pPr>
        <w:pStyle w:val="ListBullet"/>
        <w:spacing w:after="50"/>
      </w:pPr>
      <w:r>
        <w:t>Assign a primary national mentor for professional development, business, leadership, and general clinical reflection.</w:t>
      </w:r>
    </w:p>
    <w:p>
      <w:pPr>
        <w:pStyle w:val="ListBullet"/>
        <w:spacing w:after="50"/>
      </w:pPr>
      <w:r>
        <w:t>Add a state resource adviser or volunteer for one or two state-specific orientation calls.</w:t>
      </w:r>
    </w:p>
    <w:p>
      <w:pPr>
        <w:pStyle w:val="ListBullet"/>
        <w:spacing w:after="50"/>
      </w:pPr>
      <w:r>
        <w:t>Require the mentee to consult the state regulatory board and relevant state association for authoritative answers.</w:t>
      </w:r>
    </w:p>
    <w:p>
      <w:pPr>
        <w:pStyle w:val="ListBullet"/>
        <w:spacing w:after="50"/>
      </w:pPr>
      <w:r>
        <w:t>Do not present an out-of-state mentor's experience as controlling law or payer policy in the mentee's state.</w:t>
      </w:r>
    </w:p>
    <w:p>
      <w:pPr>
        <w:pStyle w:val="Heading2"/>
      </w:pPr>
      <w:r>
        <w:t>Recommended matching workflow</w:t>
      </w:r>
    </w:p>
    <w:p>
      <w:pPr>
        <w:pStyle w:val="ListNumber"/>
        <w:spacing w:after="60"/>
      </w:pPr>
      <w:r>
        <w:t>Program verifies applications, active license status, insurance attestation, interests, availability, and conflicts.</w:t>
      </w:r>
    </w:p>
    <w:p>
      <w:pPr>
        <w:pStyle w:val="ListNumber"/>
        <w:spacing w:after="60"/>
      </w:pPr>
      <w:r>
        <w:t>Coordinator creates 2-3 plausible matches using the rubric above.</w:t>
      </w:r>
    </w:p>
    <w:p>
      <w:pPr>
        <w:pStyle w:val="ListNumber"/>
        <w:spacing w:after="60"/>
      </w:pPr>
      <w:r>
        <w:t>Mentor and mentee receive short profiles without sensitive information.</w:t>
      </w:r>
    </w:p>
    <w:p>
      <w:pPr>
        <w:pStyle w:val="ListNumber"/>
        <w:spacing w:after="60"/>
      </w:pPr>
      <w:r>
        <w:t>Both independently accept the proposed match.</w:t>
      </w:r>
    </w:p>
    <w:p>
      <w:pPr>
        <w:pStyle w:val="ListNumber"/>
        <w:spacing w:after="60"/>
      </w:pPr>
      <w:r>
        <w:t>Pair holds a 30-minute chemistry call and may decline without giving a detailed reason.</w:t>
      </w:r>
    </w:p>
    <w:p>
      <w:pPr>
        <w:pStyle w:val="ListNumber"/>
        <w:spacing w:after="60"/>
      </w:pPr>
      <w:r>
        <w:t>Both sign the compact and begin a 30-day trial.</w:t>
      </w:r>
    </w:p>
    <w:p>
      <w:pPr>
        <w:pStyle w:val="ListNumber"/>
        <w:spacing w:after="60"/>
      </w:pPr>
      <w:r>
        <w:t>Coordinator checks in at 30 days; rematches promptly if needed.</w:t>
      </w:r>
    </w:p>
    <w:p>
      <w:pPr>
        <w:pStyle w:val="Heading1"/>
      </w:pPr>
      <w:r>
        <w:t>7. Curriculum and meeting format</w:t>
      </w:r>
    </w:p>
    <w:p>
      <w:pPr>
        <w:pStyle w:val="Heading2"/>
      </w:pPr>
      <w:r>
        <w:t>Suggested 12-month learning pathway</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792"/>
            <w:vAlign w:val="center"/>
            <w:tcMar>
              <w:top w:w="80" w:type="dxa"/>
              <w:start w:w="90" w:type="dxa"/>
              <w:bottom w:w="80" w:type="dxa"/>
              <w:end w:w="90" w:type="dxa"/>
            </w:tcMar>
            <w:shd w:fill="2E6B3A"/>
          </w:tcPr>
          <w:p>
            <w:pPr>
              <w:spacing w:after="40" w:before="20"/>
            </w:pPr>
            <w:r>
              <w:rPr>
                <w:rFonts w:ascii="Aptos" w:hAnsi="Aptos"/>
                <w:b/>
                <w:color w:val="FFFFFF"/>
                <w:sz w:val="16"/>
              </w:rPr>
              <w:t>Month</w:t>
            </w:r>
          </w:p>
        </w:tc>
        <w:tc>
          <w:tcPr>
            <w:tcW w:type="dxa" w:w="4320"/>
            <w:vAlign w:val="center"/>
            <w:tcMar>
              <w:top w:w="80" w:type="dxa"/>
              <w:start w:w="90" w:type="dxa"/>
              <w:bottom w:w="80" w:type="dxa"/>
              <w:end w:w="90" w:type="dxa"/>
            </w:tcMar>
            <w:shd w:fill="2E6B3A"/>
          </w:tcPr>
          <w:p>
            <w:pPr>
              <w:spacing w:after="40" w:before="20"/>
            </w:pPr>
            <w:r>
              <w:rPr>
                <w:rFonts w:ascii="Aptos" w:hAnsi="Aptos"/>
                <w:b/>
                <w:color w:val="FFFFFF"/>
                <w:sz w:val="16"/>
              </w:rPr>
              <w:t>Theme</w:t>
            </w:r>
          </w:p>
        </w:tc>
        <w:tc>
          <w:tcPr>
            <w:tcW w:type="dxa" w:w="4968"/>
            <w:vAlign w:val="center"/>
            <w:tcMar>
              <w:top w:w="80" w:type="dxa"/>
              <w:start w:w="90" w:type="dxa"/>
              <w:bottom w:w="80" w:type="dxa"/>
              <w:end w:w="90" w:type="dxa"/>
            </w:tcMar>
            <w:shd w:fill="2E6B3A"/>
          </w:tcPr>
          <w:p>
            <w:pPr>
              <w:spacing w:after="40" w:before="20"/>
            </w:pPr>
            <w:r>
              <w:rPr>
                <w:rFonts w:ascii="Aptos" w:hAnsi="Aptos"/>
                <w:b/>
                <w:color w:val="FFFFFF"/>
                <w:sz w:val="16"/>
              </w:rPr>
              <w:t>Possible work product</w:t>
            </w:r>
          </w:p>
        </w:tc>
      </w:tr>
      <w:tr>
        <w:tc>
          <w:tcPr>
            <w:tcW w:type="dxa" w:w="792"/>
            <w:vAlign w:val="center"/>
            <w:tcMar>
              <w:top w:w="80" w:type="dxa"/>
              <w:start w:w="90" w:type="dxa"/>
              <w:bottom w:w="80" w:type="dxa"/>
              <w:end w:w="90" w:type="dxa"/>
            </w:tcMar>
          </w:tcPr>
          <w:p>
            <w:pPr>
              <w:spacing w:after="40" w:before="20"/>
            </w:pPr>
            <w:r>
              <w:rPr>
                <w:rFonts w:ascii="Aptos" w:hAnsi="Aptos"/>
                <w:sz w:val="16"/>
              </w:rPr>
              <w:t>1</w:t>
            </w:r>
          </w:p>
        </w:tc>
        <w:tc>
          <w:tcPr>
            <w:tcW w:type="dxa" w:w="4320"/>
            <w:vAlign w:val="center"/>
            <w:tcMar>
              <w:top w:w="80" w:type="dxa"/>
              <w:start w:w="90" w:type="dxa"/>
              <w:bottom w:w="80" w:type="dxa"/>
              <w:end w:w="90" w:type="dxa"/>
            </w:tcMar>
          </w:tcPr>
          <w:p>
            <w:pPr>
              <w:spacing w:after="40" w:before="20"/>
            </w:pPr>
            <w:r>
              <w:rPr>
                <w:rFonts w:ascii="Aptos" w:hAnsi="Aptos"/>
                <w:sz w:val="16"/>
              </w:rPr>
              <w:t>Professional identity, scope, competence, and 90-day goals</w:t>
            </w:r>
          </w:p>
        </w:tc>
        <w:tc>
          <w:tcPr>
            <w:tcW w:type="dxa" w:w="4968"/>
            <w:vAlign w:val="center"/>
            <w:tcMar>
              <w:top w:w="80" w:type="dxa"/>
              <w:start w:w="90" w:type="dxa"/>
              <w:bottom w:w="80" w:type="dxa"/>
              <w:end w:w="90" w:type="dxa"/>
            </w:tcMar>
          </w:tcPr>
          <w:p>
            <w:pPr>
              <w:spacing w:after="40" w:before="20"/>
            </w:pPr>
            <w:r>
              <w:rPr>
                <w:rFonts w:ascii="Aptos" w:hAnsi="Aptos"/>
                <w:sz w:val="16"/>
              </w:rPr>
              <w:t>Individual development plan; state compliance checklist</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2</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Patient safety, red flags, referral, informed consent, and boundaries</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Referral map; emergency and escalation protocol</w:t>
            </w:r>
          </w:p>
        </w:tc>
      </w:tr>
      <w:tr>
        <w:tc>
          <w:tcPr>
            <w:tcW w:type="dxa" w:w="792"/>
            <w:vAlign w:val="center"/>
            <w:tcMar>
              <w:top w:w="80" w:type="dxa"/>
              <w:start w:w="90" w:type="dxa"/>
              <w:bottom w:w="80" w:type="dxa"/>
              <w:end w:w="90" w:type="dxa"/>
            </w:tcMar>
          </w:tcPr>
          <w:p>
            <w:pPr>
              <w:spacing w:after="40" w:before="20"/>
            </w:pPr>
            <w:r>
              <w:rPr>
                <w:rFonts w:ascii="Aptos" w:hAnsi="Aptos"/>
                <w:sz w:val="16"/>
              </w:rPr>
              <w:t>3</w:t>
            </w:r>
          </w:p>
        </w:tc>
        <w:tc>
          <w:tcPr>
            <w:tcW w:type="dxa" w:w="4320"/>
            <w:vAlign w:val="center"/>
            <w:tcMar>
              <w:top w:w="80" w:type="dxa"/>
              <w:start w:w="90" w:type="dxa"/>
              <w:bottom w:w="80" w:type="dxa"/>
              <w:end w:w="90" w:type="dxa"/>
            </w:tcMar>
          </w:tcPr>
          <w:p>
            <w:pPr>
              <w:spacing w:after="40" w:before="20"/>
            </w:pPr>
            <w:r>
              <w:rPr>
                <w:rFonts w:ascii="Aptos" w:hAnsi="Aptos"/>
                <w:sz w:val="16"/>
              </w:rPr>
              <w:t>Documentation and outcome measurement</w:t>
            </w:r>
          </w:p>
        </w:tc>
        <w:tc>
          <w:tcPr>
            <w:tcW w:type="dxa" w:w="4968"/>
            <w:vAlign w:val="center"/>
            <w:tcMar>
              <w:top w:w="80" w:type="dxa"/>
              <w:start w:w="90" w:type="dxa"/>
              <w:bottom w:w="80" w:type="dxa"/>
              <w:end w:w="90" w:type="dxa"/>
            </w:tcMar>
          </w:tcPr>
          <w:p>
            <w:pPr>
              <w:spacing w:after="40" w:before="20"/>
            </w:pPr>
            <w:r>
              <w:rPr>
                <w:rFonts w:ascii="Aptos" w:hAnsi="Aptos"/>
                <w:sz w:val="16"/>
              </w:rPr>
              <w:t>De-identified sample note; chart audit checklist</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4</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Practice models, employment, contracts, and credentialing</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Practice-model comparison; questions for attorney/accountant</w:t>
            </w:r>
          </w:p>
        </w:tc>
      </w:tr>
      <w:tr>
        <w:tc>
          <w:tcPr>
            <w:tcW w:type="dxa" w:w="792"/>
            <w:vAlign w:val="center"/>
            <w:tcMar>
              <w:top w:w="80" w:type="dxa"/>
              <w:start w:w="90" w:type="dxa"/>
              <w:bottom w:w="80" w:type="dxa"/>
              <w:end w:w="90" w:type="dxa"/>
            </w:tcMar>
          </w:tcPr>
          <w:p>
            <w:pPr>
              <w:spacing w:after="40" w:before="20"/>
            </w:pPr>
            <w:r>
              <w:rPr>
                <w:rFonts w:ascii="Aptos" w:hAnsi="Aptos"/>
                <w:sz w:val="16"/>
              </w:rPr>
              <w:t>5</w:t>
            </w:r>
          </w:p>
        </w:tc>
        <w:tc>
          <w:tcPr>
            <w:tcW w:type="dxa" w:w="4320"/>
            <w:vAlign w:val="center"/>
            <w:tcMar>
              <w:top w:w="80" w:type="dxa"/>
              <w:start w:w="90" w:type="dxa"/>
              <w:bottom w:w="80" w:type="dxa"/>
              <w:end w:w="90" w:type="dxa"/>
            </w:tcMar>
          </w:tcPr>
          <w:p>
            <w:pPr>
              <w:spacing w:after="40" w:before="20"/>
            </w:pPr>
            <w:r>
              <w:rPr>
                <w:rFonts w:ascii="Aptos" w:hAnsi="Aptos"/>
                <w:sz w:val="16"/>
              </w:rPr>
              <w:t>Fees, budgeting, bookkeeping, taxes, and financial habits</w:t>
            </w:r>
          </w:p>
        </w:tc>
        <w:tc>
          <w:tcPr>
            <w:tcW w:type="dxa" w:w="4968"/>
            <w:vAlign w:val="center"/>
            <w:tcMar>
              <w:top w:w="80" w:type="dxa"/>
              <w:start w:w="90" w:type="dxa"/>
              <w:bottom w:w="80" w:type="dxa"/>
              <w:end w:w="90" w:type="dxa"/>
            </w:tcMar>
          </w:tcPr>
          <w:p>
            <w:pPr>
              <w:spacing w:after="40" w:before="20"/>
            </w:pPr>
            <w:r>
              <w:rPr>
                <w:rFonts w:ascii="Aptos" w:hAnsi="Aptos"/>
                <w:sz w:val="16"/>
              </w:rPr>
              <w:t>First-year budget and break-even estimate</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6</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Ethical marketing, community education, and referral relationships</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One-page outreach plan and professional introduction</w:t>
            </w:r>
          </w:p>
        </w:tc>
      </w:tr>
      <w:tr>
        <w:tc>
          <w:tcPr>
            <w:tcW w:type="dxa" w:w="792"/>
            <w:vAlign w:val="center"/>
            <w:tcMar>
              <w:top w:w="80" w:type="dxa"/>
              <w:start w:w="90" w:type="dxa"/>
              <w:bottom w:w="80" w:type="dxa"/>
              <w:end w:w="90" w:type="dxa"/>
            </w:tcMar>
          </w:tcPr>
          <w:p>
            <w:pPr>
              <w:spacing w:after="40" w:before="20"/>
            </w:pPr>
            <w:r>
              <w:rPr>
                <w:rFonts w:ascii="Aptos" w:hAnsi="Aptos"/>
                <w:sz w:val="16"/>
              </w:rPr>
              <w:t>7</w:t>
            </w:r>
          </w:p>
        </w:tc>
        <w:tc>
          <w:tcPr>
            <w:tcW w:type="dxa" w:w="4320"/>
            <w:vAlign w:val="center"/>
            <w:tcMar>
              <w:top w:w="80" w:type="dxa"/>
              <w:start w:w="90" w:type="dxa"/>
              <w:bottom w:w="80" w:type="dxa"/>
              <w:end w:w="90" w:type="dxa"/>
            </w:tcMar>
          </w:tcPr>
          <w:p>
            <w:pPr>
              <w:spacing w:after="40" w:before="20"/>
            </w:pPr>
            <w:r>
              <w:rPr>
                <w:rFonts w:ascii="Aptos" w:hAnsi="Aptos"/>
                <w:sz w:val="16"/>
              </w:rPr>
              <w:t>Insurance, coding, authorization, claims, and collections</w:t>
            </w:r>
          </w:p>
        </w:tc>
        <w:tc>
          <w:tcPr>
            <w:tcW w:type="dxa" w:w="4968"/>
            <w:vAlign w:val="center"/>
            <w:tcMar>
              <w:top w:w="80" w:type="dxa"/>
              <w:start w:w="90" w:type="dxa"/>
              <w:bottom w:w="80" w:type="dxa"/>
              <w:end w:w="90" w:type="dxa"/>
            </w:tcMar>
          </w:tcPr>
          <w:p>
            <w:pPr>
              <w:spacing w:after="40" w:before="20"/>
            </w:pPr>
            <w:r>
              <w:rPr>
                <w:rFonts w:ascii="Aptos" w:hAnsi="Aptos"/>
                <w:sz w:val="16"/>
              </w:rPr>
              <w:t>Payer workflow; denial and follow-up checklist</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8</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Special populations and complex-care collaboration</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Referral/resource list; case reflection</w:t>
            </w:r>
          </w:p>
        </w:tc>
      </w:tr>
      <w:tr>
        <w:tc>
          <w:tcPr>
            <w:tcW w:type="dxa" w:w="792"/>
            <w:vAlign w:val="center"/>
            <w:tcMar>
              <w:top w:w="80" w:type="dxa"/>
              <w:start w:w="90" w:type="dxa"/>
              <w:bottom w:w="80" w:type="dxa"/>
              <w:end w:w="90" w:type="dxa"/>
            </w:tcMar>
          </w:tcPr>
          <w:p>
            <w:pPr>
              <w:spacing w:after="40" w:before="20"/>
            </w:pPr>
            <w:r>
              <w:rPr>
                <w:rFonts w:ascii="Aptos" w:hAnsi="Aptos"/>
                <w:sz w:val="16"/>
              </w:rPr>
              <w:t>9</w:t>
            </w:r>
          </w:p>
        </w:tc>
        <w:tc>
          <w:tcPr>
            <w:tcW w:type="dxa" w:w="4320"/>
            <w:vAlign w:val="center"/>
            <w:tcMar>
              <w:top w:w="80" w:type="dxa"/>
              <w:start w:w="90" w:type="dxa"/>
              <w:bottom w:w="80" w:type="dxa"/>
              <w:end w:w="90" w:type="dxa"/>
            </w:tcMar>
          </w:tcPr>
          <w:p>
            <w:pPr>
              <w:spacing w:after="40" w:before="20"/>
            </w:pPr>
            <w:r>
              <w:rPr>
                <w:rFonts w:ascii="Aptos" w:hAnsi="Aptos"/>
                <w:sz w:val="16"/>
              </w:rPr>
              <w:t>Herbal medicine, products, supplements, and scope boundaries</w:t>
            </w:r>
          </w:p>
        </w:tc>
        <w:tc>
          <w:tcPr>
            <w:tcW w:type="dxa" w:w="4968"/>
            <w:vAlign w:val="center"/>
            <w:tcMar>
              <w:top w:w="80" w:type="dxa"/>
              <w:start w:w="90" w:type="dxa"/>
              <w:bottom w:w="80" w:type="dxa"/>
              <w:end w:w="90" w:type="dxa"/>
            </w:tcMar>
          </w:tcPr>
          <w:p>
            <w:pPr>
              <w:spacing w:after="40" w:before="20"/>
            </w:pPr>
            <w:r>
              <w:rPr>
                <w:rFonts w:ascii="Aptos" w:hAnsi="Aptos"/>
                <w:sz w:val="16"/>
              </w:rPr>
              <w:t>Safety and interaction workflow, when applicable</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10</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Risk management, complaints, difficult conversations, and records</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Incident response and documentation checklist</w:t>
            </w:r>
          </w:p>
        </w:tc>
      </w:tr>
      <w:tr>
        <w:tc>
          <w:tcPr>
            <w:tcW w:type="dxa" w:w="792"/>
            <w:vAlign w:val="center"/>
            <w:tcMar>
              <w:top w:w="80" w:type="dxa"/>
              <w:start w:w="90" w:type="dxa"/>
              <w:bottom w:w="80" w:type="dxa"/>
              <w:end w:w="90" w:type="dxa"/>
            </w:tcMar>
          </w:tcPr>
          <w:p>
            <w:pPr>
              <w:spacing w:after="40" w:before="20"/>
            </w:pPr>
            <w:r>
              <w:rPr>
                <w:rFonts w:ascii="Aptos" w:hAnsi="Aptos"/>
                <w:sz w:val="16"/>
              </w:rPr>
              <w:t>11</w:t>
            </w:r>
          </w:p>
        </w:tc>
        <w:tc>
          <w:tcPr>
            <w:tcW w:type="dxa" w:w="4320"/>
            <w:vAlign w:val="center"/>
            <w:tcMar>
              <w:top w:w="80" w:type="dxa"/>
              <w:start w:w="90" w:type="dxa"/>
              <w:bottom w:w="80" w:type="dxa"/>
              <w:end w:w="90" w:type="dxa"/>
            </w:tcMar>
          </w:tcPr>
          <w:p>
            <w:pPr>
              <w:spacing w:after="40" w:before="20"/>
            </w:pPr>
            <w:r>
              <w:rPr>
                <w:rFonts w:ascii="Aptos" w:hAnsi="Aptos"/>
                <w:sz w:val="16"/>
              </w:rPr>
              <w:t>Sustainability, workload, isolation, and burnout prevention</w:t>
            </w:r>
          </w:p>
        </w:tc>
        <w:tc>
          <w:tcPr>
            <w:tcW w:type="dxa" w:w="4968"/>
            <w:vAlign w:val="center"/>
            <w:tcMar>
              <w:top w:w="80" w:type="dxa"/>
              <w:start w:w="90" w:type="dxa"/>
              <w:bottom w:w="80" w:type="dxa"/>
              <w:end w:w="90" w:type="dxa"/>
            </w:tcMar>
          </w:tcPr>
          <w:p>
            <w:pPr>
              <w:spacing w:after="40" w:before="20"/>
            </w:pPr>
            <w:r>
              <w:rPr>
                <w:rFonts w:ascii="Aptos" w:hAnsi="Aptos"/>
                <w:sz w:val="16"/>
              </w:rPr>
              <w:t>Personal sustainability plan</w:t>
            </w:r>
          </w:p>
        </w:tc>
      </w:tr>
      <w:tr>
        <w:tc>
          <w:tcPr>
            <w:tcW w:type="dxa" w:w="792"/>
            <w:vAlign w:val="center"/>
            <w:tcMar>
              <w:top w:w="80" w:type="dxa"/>
              <w:start w:w="90" w:type="dxa"/>
              <w:bottom w:w="80" w:type="dxa"/>
              <w:end w:w="90" w:type="dxa"/>
            </w:tcMar>
            <w:shd w:fill="F6F8F6"/>
          </w:tcPr>
          <w:p>
            <w:pPr>
              <w:spacing w:after="40" w:before="20"/>
            </w:pPr>
            <w:r>
              <w:rPr>
                <w:rFonts w:ascii="Aptos" w:hAnsi="Aptos"/>
                <w:sz w:val="16"/>
              </w:rPr>
              <w:t>12</w:t>
            </w:r>
          </w:p>
        </w:tc>
        <w:tc>
          <w:tcPr>
            <w:tcW w:type="dxa" w:w="4320"/>
            <w:vAlign w:val="center"/>
            <w:tcMar>
              <w:top w:w="80" w:type="dxa"/>
              <w:start w:w="90" w:type="dxa"/>
              <w:bottom w:w="80" w:type="dxa"/>
              <w:end w:w="90" w:type="dxa"/>
            </w:tcMar>
            <w:shd w:fill="F6F8F6"/>
          </w:tcPr>
          <w:p>
            <w:pPr>
              <w:spacing w:after="40" w:before="20"/>
            </w:pPr>
            <w:r>
              <w:rPr>
                <w:rFonts w:ascii="Aptos" w:hAnsi="Aptos"/>
                <w:sz w:val="16"/>
              </w:rPr>
              <w:t>Outcomes, next-year strategy, leadership, and giving back</w:t>
            </w:r>
          </w:p>
        </w:tc>
        <w:tc>
          <w:tcPr>
            <w:tcW w:type="dxa" w:w="4968"/>
            <w:vAlign w:val="center"/>
            <w:tcMar>
              <w:top w:w="80" w:type="dxa"/>
              <w:start w:w="90" w:type="dxa"/>
              <w:bottom w:w="80" w:type="dxa"/>
              <w:end w:w="90" w:type="dxa"/>
            </w:tcMar>
            <w:shd w:fill="F6F8F6"/>
          </w:tcPr>
          <w:p>
            <w:pPr>
              <w:spacing w:after="40" w:before="20"/>
            </w:pPr>
            <w:r>
              <w:rPr>
                <w:rFonts w:ascii="Aptos" w:hAnsi="Aptos"/>
                <w:sz w:val="16"/>
              </w:rPr>
              <w:t>12-month review and next-year plan</w:t>
            </w:r>
          </w:p>
        </w:tc>
      </w:tr>
    </w:tbl>
    <w:p>
      <w:pPr>
        <w:pStyle w:val="Heading2"/>
      </w:pPr>
      <w:r>
        <w:t>Standard 60-minute meeting agenda</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1728"/>
            <w:vAlign w:val="center"/>
            <w:tcMar>
              <w:top w:w="80" w:type="dxa"/>
              <w:start w:w="90" w:type="dxa"/>
              <w:bottom w:w="80" w:type="dxa"/>
              <w:end w:w="90" w:type="dxa"/>
            </w:tcMar>
            <w:shd w:fill="2E6B3A"/>
          </w:tcPr>
          <w:p>
            <w:pPr>
              <w:spacing w:after="40" w:before="20"/>
            </w:pPr>
            <w:r>
              <w:rPr>
                <w:rFonts w:ascii="Aptos" w:hAnsi="Aptos"/>
                <w:b/>
                <w:color w:val="FFFFFF"/>
                <w:sz w:val="18"/>
              </w:rPr>
              <w:t>Time</w:t>
            </w:r>
          </w:p>
        </w:tc>
        <w:tc>
          <w:tcPr>
            <w:tcW w:type="dxa" w:w="8352"/>
            <w:vAlign w:val="center"/>
            <w:tcMar>
              <w:top w:w="80" w:type="dxa"/>
              <w:start w:w="90" w:type="dxa"/>
              <w:bottom w:w="80" w:type="dxa"/>
              <w:end w:w="90" w:type="dxa"/>
            </w:tcMar>
            <w:shd w:fill="2E6B3A"/>
          </w:tcPr>
          <w:p>
            <w:pPr>
              <w:spacing w:after="40" w:before="20"/>
            </w:pPr>
            <w:r>
              <w:rPr>
                <w:rFonts w:ascii="Aptos" w:hAnsi="Aptos"/>
                <w:b/>
                <w:color w:val="FFFFFF"/>
                <w:sz w:val="18"/>
              </w:rPr>
              <w:t>Agenda</w:t>
            </w:r>
          </w:p>
        </w:tc>
      </w:tr>
      <w:tr>
        <w:tc>
          <w:tcPr>
            <w:tcW w:type="dxa" w:w="1728"/>
            <w:vAlign w:val="center"/>
            <w:tcMar>
              <w:top w:w="80" w:type="dxa"/>
              <w:start w:w="90" w:type="dxa"/>
              <w:bottom w:w="80" w:type="dxa"/>
              <w:end w:w="90" w:type="dxa"/>
            </w:tcMar>
          </w:tcPr>
          <w:p>
            <w:pPr>
              <w:spacing w:after="40" w:before="20"/>
            </w:pPr>
            <w:r>
              <w:rPr>
                <w:rFonts w:ascii="Aptos" w:hAnsi="Aptos"/>
                <w:sz w:val="18"/>
              </w:rPr>
              <w:t>5 minutes</w:t>
            </w:r>
          </w:p>
        </w:tc>
        <w:tc>
          <w:tcPr>
            <w:tcW w:type="dxa" w:w="8352"/>
            <w:vAlign w:val="center"/>
            <w:tcMar>
              <w:top w:w="80" w:type="dxa"/>
              <w:start w:w="90" w:type="dxa"/>
              <w:bottom w:w="80" w:type="dxa"/>
              <w:end w:w="90" w:type="dxa"/>
            </w:tcMar>
          </w:tcPr>
          <w:p>
            <w:pPr>
              <w:spacing w:after="40" w:before="20"/>
            </w:pPr>
            <w:r>
              <w:rPr>
                <w:rFonts w:ascii="Aptos" w:hAnsi="Aptos"/>
                <w:sz w:val="18"/>
              </w:rPr>
              <w:t>Check-in; urgent professional developments; confirm boundaries.</w:t>
            </w:r>
          </w:p>
        </w:tc>
      </w:tr>
      <w:tr>
        <w:tc>
          <w:tcPr>
            <w:tcW w:type="dxa" w:w="1728"/>
            <w:vAlign w:val="center"/>
            <w:tcMar>
              <w:top w:w="80" w:type="dxa"/>
              <w:start w:w="90" w:type="dxa"/>
              <w:bottom w:w="80" w:type="dxa"/>
              <w:end w:w="90" w:type="dxa"/>
            </w:tcMar>
            <w:shd w:fill="F6F8F6"/>
          </w:tcPr>
          <w:p>
            <w:pPr>
              <w:spacing w:after="40" w:before="20"/>
            </w:pPr>
            <w:r>
              <w:rPr>
                <w:rFonts w:ascii="Aptos" w:hAnsi="Aptos"/>
                <w:sz w:val="18"/>
              </w:rPr>
              <w:t>10 minutes</w:t>
            </w:r>
          </w:p>
        </w:tc>
        <w:tc>
          <w:tcPr>
            <w:tcW w:type="dxa" w:w="8352"/>
            <w:vAlign w:val="center"/>
            <w:tcMar>
              <w:top w:w="80" w:type="dxa"/>
              <w:start w:w="90" w:type="dxa"/>
              <w:bottom w:w="80" w:type="dxa"/>
              <w:end w:w="90" w:type="dxa"/>
            </w:tcMar>
            <w:shd w:fill="F6F8F6"/>
          </w:tcPr>
          <w:p>
            <w:pPr>
              <w:spacing w:after="40" w:before="20"/>
            </w:pPr>
            <w:r>
              <w:rPr>
                <w:rFonts w:ascii="Aptos" w:hAnsi="Aptos"/>
                <w:sz w:val="18"/>
              </w:rPr>
              <w:t>Review last action items and wins.</w:t>
            </w:r>
          </w:p>
        </w:tc>
      </w:tr>
      <w:tr>
        <w:tc>
          <w:tcPr>
            <w:tcW w:type="dxa" w:w="1728"/>
            <w:vAlign w:val="center"/>
            <w:tcMar>
              <w:top w:w="80" w:type="dxa"/>
              <w:start w:w="90" w:type="dxa"/>
              <w:bottom w:w="80" w:type="dxa"/>
              <w:end w:w="90" w:type="dxa"/>
            </w:tcMar>
          </w:tcPr>
          <w:p>
            <w:pPr>
              <w:spacing w:after="40" w:before="20"/>
            </w:pPr>
            <w:r>
              <w:rPr>
                <w:rFonts w:ascii="Aptos" w:hAnsi="Aptos"/>
                <w:sz w:val="18"/>
              </w:rPr>
              <w:t>25 minutes</w:t>
            </w:r>
          </w:p>
        </w:tc>
        <w:tc>
          <w:tcPr>
            <w:tcW w:type="dxa" w:w="8352"/>
            <w:vAlign w:val="center"/>
            <w:tcMar>
              <w:top w:w="80" w:type="dxa"/>
              <w:start w:w="90" w:type="dxa"/>
              <w:bottom w:w="80" w:type="dxa"/>
              <w:end w:w="90" w:type="dxa"/>
            </w:tcMar>
          </w:tcPr>
          <w:p>
            <w:pPr>
              <w:spacing w:after="40" w:before="20"/>
            </w:pPr>
            <w:r>
              <w:rPr>
                <w:rFonts w:ascii="Aptos" w:hAnsi="Aptos"/>
                <w:sz w:val="18"/>
              </w:rPr>
              <w:t>Discuss one priority topic or de-identified case reflection.</w:t>
            </w:r>
          </w:p>
        </w:tc>
      </w:tr>
      <w:tr>
        <w:tc>
          <w:tcPr>
            <w:tcW w:type="dxa" w:w="1728"/>
            <w:vAlign w:val="center"/>
            <w:tcMar>
              <w:top w:w="80" w:type="dxa"/>
              <w:start w:w="90" w:type="dxa"/>
              <w:bottom w:w="80" w:type="dxa"/>
              <w:end w:w="90" w:type="dxa"/>
            </w:tcMar>
            <w:shd w:fill="F6F8F6"/>
          </w:tcPr>
          <w:p>
            <w:pPr>
              <w:spacing w:after="40" w:before="20"/>
            </w:pPr>
            <w:r>
              <w:rPr>
                <w:rFonts w:ascii="Aptos" w:hAnsi="Aptos"/>
                <w:sz w:val="18"/>
              </w:rPr>
              <w:t>10 minutes</w:t>
            </w:r>
          </w:p>
        </w:tc>
        <w:tc>
          <w:tcPr>
            <w:tcW w:type="dxa" w:w="8352"/>
            <w:vAlign w:val="center"/>
            <w:tcMar>
              <w:top w:w="80" w:type="dxa"/>
              <w:start w:w="90" w:type="dxa"/>
              <w:bottom w:w="80" w:type="dxa"/>
              <w:end w:w="90" w:type="dxa"/>
            </w:tcMar>
            <w:shd w:fill="F6F8F6"/>
          </w:tcPr>
          <w:p>
            <w:pPr>
              <w:spacing w:after="40" w:before="20"/>
            </w:pPr>
            <w:r>
              <w:rPr>
                <w:rFonts w:ascii="Aptos" w:hAnsi="Aptos"/>
                <w:sz w:val="18"/>
              </w:rPr>
              <w:t>Identify options, resources, and what must be verified elsewhere.</w:t>
            </w:r>
          </w:p>
        </w:tc>
      </w:tr>
      <w:tr>
        <w:tc>
          <w:tcPr>
            <w:tcW w:type="dxa" w:w="1728"/>
            <w:vAlign w:val="center"/>
            <w:tcMar>
              <w:top w:w="80" w:type="dxa"/>
              <w:start w:w="90" w:type="dxa"/>
              <w:bottom w:w="80" w:type="dxa"/>
              <w:end w:w="90" w:type="dxa"/>
            </w:tcMar>
          </w:tcPr>
          <w:p>
            <w:pPr>
              <w:spacing w:after="40" w:before="20"/>
            </w:pPr>
            <w:r>
              <w:rPr>
                <w:rFonts w:ascii="Aptos" w:hAnsi="Aptos"/>
                <w:sz w:val="18"/>
              </w:rPr>
              <w:t>5 minutes</w:t>
            </w:r>
          </w:p>
        </w:tc>
        <w:tc>
          <w:tcPr>
            <w:tcW w:type="dxa" w:w="8352"/>
            <w:vAlign w:val="center"/>
            <w:tcMar>
              <w:top w:w="80" w:type="dxa"/>
              <w:start w:w="90" w:type="dxa"/>
              <w:bottom w:w="80" w:type="dxa"/>
              <w:end w:w="90" w:type="dxa"/>
            </w:tcMar>
          </w:tcPr>
          <w:p>
            <w:pPr>
              <w:spacing w:after="40" w:before="20"/>
            </w:pPr>
            <w:r>
              <w:rPr>
                <w:rFonts w:ascii="Aptos" w:hAnsi="Aptos"/>
                <w:sz w:val="18"/>
              </w:rPr>
              <w:t>Agree on 1-3 action items, owners, and dates.</w:t>
            </w:r>
          </w:p>
        </w:tc>
      </w:tr>
      <w:tr>
        <w:tc>
          <w:tcPr>
            <w:tcW w:type="dxa" w:w="1728"/>
            <w:vAlign w:val="center"/>
            <w:tcMar>
              <w:top w:w="80" w:type="dxa"/>
              <w:start w:w="90" w:type="dxa"/>
              <w:bottom w:w="80" w:type="dxa"/>
              <w:end w:w="90" w:type="dxa"/>
            </w:tcMar>
            <w:shd w:fill="F6F8F6"/>
          </w:tcPr>
          <w:p>
            <w:pPr>
              <w:spacing w:after="40" w:before="20"/>
            </w:pPr>
            <w:r>
              <w:rPr>
                <w:rFonts w:ascii="Aptos" w:hAnsi="Aptos"/>
                <w:sz w:val="18"/>
              </w:rPr>
              <w:t>5 minutes</w:t>
            </w:r>
          </w:p>
        </w:tc>
        <w:tc>
          <w:tcPr>
            <w:tcW w:type="dxa" w:w="8352"/>
            <w:vAlign w:val="center"/>
            <w:tcMar>
              <w:top w:w="80" w:type="dxa"/>
              <w:start w:w="90" w:type="dxa"/>
              <w:bottom w:w="80" w:type="dxa"/>
              <w:end w:w="90" w:type="dxa"/>
            </w:tcMar>
            <w:shd w:fill="F6F8F6"/>
          </w:tcPr>
          <w:p>
            <w:pPr>
              <w:spacing w:after="40" w:before="20"/>
            </w:pPr>
            <w:r>
              <w:rPr>
                <w:rFonts w:ascii="Aptos" w:hAnsi="Aptos"/>
                <w:sz w:val="18"/>
              </w:rPr>
              <w:t>Feedback on the meeting and confirm next appointment.</w:t>
            </w:r>
          </w:p>
        </w:tc>
      </w:tr>
    </w:tbl>
    <w:p>
      <w:pPr>
        <w:pStyle w:val="Heading1"/>
      </w:pPr>
      <w:r>
        <w:t>8. Student and school partnerships</w:t>
      </w:r>
    </w:p>
    <w:p>
      <w:r>
        <w:t>Schools can supply a steady pipeline of mentees and can help define which activities are appropriate for enrolled students. NGAOM should approach each institution through the acupuncture program director, dean, clinical education/externship director, alumni relations office, or career services office. Individual names change; the school liaison registry should be verified at least twice each year.</w:t>
      </w:r>
    </w:p>
    <w:p>
      <w:pPr>
        <w:pStyle w:val="Heading2"/>
      </w:pPr>
      <w:r>
        <w:t>School partnership options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1800"/>
            <w:vAlign w:val="center"/>
            <w:tcMar>
              <w:top w:w="80" w:type="dxa"/>
              <w:start w:w="90" w:type="dxa"/>
              <w:bottom w:w="80" w:type="dxa"/>
              <w:end w:w="90" w:type="dxa"/>
            </w:tcMar>
            <w:shd w:fill="2E6B3A"/>
          </w:tcPr>
          <w:p>
            <w:pPr>
              <w:spacing w:after="40" w:before="20"/>
            </w:pPr>
            <w:r>
              <w:rPr>
                <w:rFonts w:ascii="Aptos" w:hAnsi="Aptos"/>
                <w:b/>
                <w:color w:val="FFFFFF"/>
                <w:sz w:val="17"/>
              </w:rPr>
              <w:t>Level</w:t>
            </w:r>
          </w:p>
        </w:tc>
        <w:tc>
          <w:tcPr>
            <w:tcW w:type="dxa" w:w="3888"/>
            <w:vAlign w:val="center"/>
            <w:tcMar>
              <w:top w:w="80" w:type="dxa"/>
              <w:start w:w="90" w:type="dxa"/>
              <w:bottom w:w="80" w:type="dxa"/>
              <w:end w:w="90" w:type="dxa"/>
            </w:tcMar>
            <w:shd w:fill="2E6B3A"/>
          </w:tcPr>
          <w:p>
            <w:pPr>
              <w:spacing w:after="40" w:before="20"/>
            </w:pPr>
            <w:r>
              <w:rPr>
                <w:rFonts w:ascii="Aptos" w:hAnsi="Aptos"/>
                <w:b/>
                <w:color w:val="FFFFFF"/>
                <w:sz w:val="17"/>
              </w:rPr>
              <w:t>Activity</w:t>
            </w:r>
          </w:p>
        </w:tc>
        <w:tc>
          <w:tcPr>
            <w:tcW w:type="dxa" w:w="4392"/>
            <w:vAlign w:val="center"/>
            <w:tcMar>
              <w:top w:w="80" w:type="dxa"/>
              <w:start w:w="90" w:type="dxa"/>
              <w:bottom w:w="80" w:type="dxa"/>
              <w:end w:w="90" w:type="dxa"/>
            </w:tcMar>
            <w:shd w:fill="2E6B3A"/>
          </w:tcPr>
          <w:p>
            <w:pPr>
              <w:spacing w:after="40" w:before="20"/>
            </w:pPr>
            <w:r>
              <w:rPr>
                <w:rFonts w:ascii="Aptos" w:hAnsi="Aptos"/>
                <w:b/>
                <w:color w:val="FFFFFF"/>
                <w:sz w:val="17"/>
              </w:rPr>
              <w:t>Required safeguards</w:t>
            </w:r>
          </w:p>
        </w:tc>
      </w:tr>
      <w:tr>
        <w:tc>
          <w:tcPr>
            <w:tcW w:type="dxa" w:w="1800"/>
            <w:vAlign w:val="center"/>
            <w:tcMar>
              <w:top w:w="80" w:type="dxa"/>
              <w:start w:w="90" w:type="dxa"/>
              <w:bottom w:w="80" w:type="dxa"/>
              <w:end w:w="90" w:type="dxa"/>
            </w:tcMar>
          </w:tcPr>
          <w:p>
            <w:pPr>
              <w:spacing w:after="40" w:before="20"/>
            </w:pPr>
            <w:r>
              <w:rPr>
                <w:rFonts w:ascii="Aptos" w:hAnsi="Aptos"/>
                <w:sz w:val="17"/>
              </w:rPr>
              <w:t>1. Career mentoring</w:t>
            </w:r>
          </w:p>
        </w:tc>
        <w:tc>
          <w:tcPr>
            <w:tcW w:type="dxa" w:w="3888"/>
            <w:vAlign w:val="center"/>
            <w:tcMar>
              <w:top w:w="80" w:type="dxa"/>
              <w:start w:w="90" w:type="dxa"/>
              <w:bottom w:w="80" w:type="dxa"/>
              <w:end w:w="90" w:type="dxa"/>
            </w:tcMar>
          </w:tcPr>
          <w:p>
            <w:pPr>
              <w:spacing w:after="40" w:before="20"/>
            </w:pPr>
            <w:r>
              <w:rPr>
                <w:rFonts w:ascii="Aptos" w:hAnsi="Aptos"/>
                <w:sz w:val="17"/>
              </w:rPr>
              <w:t>Virtual conversations about careers, licensing, professional identity, business, networking, and transition to practice.</w:t>
            </w:r>
          </w:p>
        </w:tc>
        <w:tc>
          <w:tcPr>
            <w:tcW w:type="dxa" w:w="4392"/>
            <w:vAlign w:val="center"/>
            <w:tcMar>
              <w:top w:w="80" w:type="dxa"/>
              <w:start w:w="90" w:type="dxa"/>
              <w:bottom w:w="80" w:type="dxa"/>
              <w:end w:w="90" w:type="dxa"/>
            </w:tcMar>
          </w:tcPr>
          <w:p>
            <w:pPr>
              <w:spacing w:after="40" w:before="20"/>
            </w:pPr>
            <w:r>
              <w:rPr>
                <w:rFonts w:ascii="Aptos" w:hAnsi="Aptos"/>
                <w:sz w:val="17"/>
              </w:rPr>
              <w:t>Program compact; no patient information; no clinical supervision implied.</w:t>
            </w:r>
          </w:p>
        </w:tc>
      </w:tr>
      <w:tr>
        <w:tc>
          <w:tcPr>
            <w:tcW w:type="dxa" w:w="1800"/>
            <w:vAlign w:val="center"/>
            <w:tcMar>
              <w:top w:w="80" w:type="dxa"/>
              <w:start w:w="90" w:type="dxa"/>
              <w:bottom w:w="80" w:type="dxa"/>
              <w:end w:w="90" w:type="dxa"/>
            </w:tcMar>
            <w:shd w:fill="F6F8F6"/>
          </w:tcPr>
          <w:p>
            <w:pPr>
              <w:spacing w:after="40" w:before="20"/>
            </w:pPr>
            <w:r>
              <w:rPr>
                <w:rFonts w:ascii="Aptos" w:hAnsi="Aptos"/>
                <w:sz w:val="17"/>
              </w:rPr>
              <w:t>2. Observation</w:t>
            </w:r>
          </w:p>
        </w:tc>
        <w:tc>
          <w:tcPr>
            <w:tcW w:type="dxa" w:w="3888"/>
            <w:vAlign w:val="center"/>
            <w:tcMar>
              <w:top w:w="80" w:type="dxa"/>
              <w:start w:w="90" w:type="dxa"/>
              <w:bottom w:w="80" w:type="dxa"/>
              <w:end w:w="90" w:type="dxa"/>
            </w:tcMar>
            <w:shd w:fill="F6F8F6"/>
          </w:tcPr>
          <w:p>
            <w:pPr>
              <w:spacing w:after="40" w:before="20"/>
            </w:pPr>
            <w:r>
              <w:rPr>
                <w:rFonts w:ascii="Aptos" w:hAnsi="Aptos"/>
                <w:sz w:val="17"/>
              </w:rPr>
              <w:t>Student observes clinic operations or patient care.</w:t>
            </w:r>
          </w:p>
        </w:tc>
        <w:tc>
          <w:tcPr>
            <w:tcW w:type="dxa" w:w="4392"/>
            <w:vAlign w:val="center"/>
            <w:tcMar>
              <w:top w:w="80" w:type="dxa"/>
              <w:start w:w="90" w:type="dxa"/>
              <w:bottom w:w="80" w:type="dxa"/>
              <w:end w:w="90" w:type="dxa"/>
            </w:tcMar>
            <w:shd w:fill="F6F8F6"/>
          </w:tcPr>
          <w:p>
            <w:pPr>
              <w:spacing w:after="40" w:before="20"/>
            </w:pPr>
            <w:r>
              <w:rPr>
                <w:rFonts w:ascii="Aptos" w:hAnsi="Aptos"/>
                <w:sz w:val="17"/>
              </w:rPr>
              <w:t>Clinic and school approval; patient notice/authorization as required; confidentiality agreement; liability review; no hands-on activity.</w:t>
            </w:r>
          </w:p>
        </w:tc>
      </w:tr>
      <w:tr>
        <w:tc>
          <w:tcPr>
            <w:tcW w:type="dxa" w:w="1800"/>
            <w:vAlign w:val="center"/>
            <w:tcMar>
              <w:top w:w="80" w:type="dxa"/>
              <w:start w:w="90" w:type="dxa"/>
              <w:bottom w:w="80" w:type="dxa"/>
              <w:end w:w="90" w:type="dxa"/>
            </w:tcMar>
          </w:tcPr>
          <w:p>
            <w:pPr>
              <w:spacing w:after="40" w:before="20"/>
            </w:pPr>
            <w:r>
              <w:rPr>
                <w:rFonts w:ascii="Aptos" w:hAnsi="Aptos"/>
                <w:sz w:val="17"/>
              </w:rPr>
              <w:t>3. Formal preceptorship/externship</w:t>
            </w:r>
          </w:p>
        </w:tc>
        <w:tc>
          <w:tcPr>
            <w:tcW w:type="dxa" w:w="3888"/>
            <w:vAlign w:val="center"/>
            <w:tcMar>
              <w:top w:w="80" w:type="dxa"/>
              <w:start w:w="90" w:type="dxa"/>
              <w:bottom w:w="80" w:type="dxa"/>
              <w:end w:w="90" w:type="dxa"/>
            </w:tcMar>
          </w:tcPr>
          <w:p>
            <w:pPr>
              <w:spacing w:after="40" w:before="20"/>
            </w:pPr>
            <w:r>
              <w:rPr>
                <w:rFonts w:ascii="Aptos" w:hAnsi="Aptos"/>
                <w:sz w:val="17"/>
              </w:rPr>
              <w:t>Student participates in clinical activities for educational credit.</w:t>
            </w:r>
          </w:p>
        </w:tc>
        <w:tc>
          <w:tcPr>
            <w:tcW w:type="dxa" w:w="4392"/>
            <w:vAlign w:val="center"/>
            <w:tcMar>
              <w:top w:w="80" w:type="dxa"/>
              <w:start w:w="90" w:type="dxa"/>
              <w:bottom w:w="80" w:type="dxa"/>
              <w:end w:w="90" w:type="dxa"/>
            </w:tcMar>
          </w:tcPr>
          <w:p>
            <w:pPr>
              <w:spacing w:after="40" w:before="20"/>
            </w:pPr>
            <w:r>
              <w:rPr>
                <w:rFonts w:ascii="Aptos" w:hAnsi="Aptos"/>
                <w:sz w:val="17"/>
              </w:rPr>
              <w:t>Written school affiliation and learning agreement; qualified supervision; state-law compliance; insurance; patient consent and school evaluation.</w:t>
            </w:r>
          </w:p>
        </w:tc>
      </w:tr>
      <w:tr>
        <w:tc>
          <w:tcPr>
            <w:tcW w:type="dxa" w:w="1800"/>
            <w:vAlign w:val="center"/>
            <w:tcMar>
              <w:top w:w="80" w:type="dxa"/>
              <w:start w:w="90" w:type="dxa"/>
              <w:bottom w:w="80" w:type="dxa"/>
              <w:end w:w="90" w:type="dxa"/>
            </w:tcMar>
            <w:shd w:fill="F6F8F6"/>
          </w:tcPr>
          <w:p>
            <w:pPr>
              <w:spacing w:after="40" w:before="20"/>
            </w:pPr>
            <w:r>
              <w:rPr>
                <w:rFonts w:ascii="Aptos" w:hAnsi="Aptos"/>
                <w:sz w:val="17"/>
              </w:rPr>
              <w:t>4. New-license mentorship</w:t>
            </w:r>
          </w:p>
        </w:tc>
        <w:tc>
          <w:tcPr>
            <w:tcW w:type="dxa" w:w="3888"/>
            <w:vAlign w:val="center"/>
            <w:tcMar>
              <w:top w:w="80" w:type="dxa"/>
              <w:start w:w="90" w:type="dxa"/>
              <w:bottom w:w="80" w:type="dxa"/>
              <w:end w:w="90" w:type="dxa"/>
            </w:tcMar>
            <w:shd w:fill="F6F8F6"/>
          </w:tcPr>
          <w:p>
            <w:pPr>
              <w:spacing w:after="40" w:before="20"/>
            </w:pPr>
            <w:r>
              <w:rPr>
                <w:rFonts w:ascii="Aptos" w:hAnsi="Aptos"/>
                <w:sz w:val="17"/>
              </w:rPr>
              <w:t>Licensed graduate receives professional and practice-development support.</w:t>
            </w:r>
          </w:p>
        </w:tc>
        <w:tc>
          <w:tcPr>
            <w:tcW w:type="dxa" w:w="4392"/>
            <w:vAlign w:val="center"/>
            <w:tcMar>
              <w:top w:w="80" w:type="dxa"/>
              <w:start w:w="90" w:type="dxa"/>
              <w:bottom w:w="80" w:type="dxa"/>
              <w:end w:w="90" w:type="dxa"/>
            </w:tcMar>
            <w:shd w:fill="F6F8F6"/>
          </w:tcPr>
          <w:p>
            <w:pPr>
              <w:spacing w:after="40" w:before="20"/>
            </w:pPr>
            <w:r>
              <w:rPr>
                <w:rFonts w:ascii="Aptos" w:hAnsi="Aptos"/>
                <w:sz w:val="17"/>
              </w:rPr>
              <w:t>License verification; own liability coverage; de-identification; mentor is not responsible for patient care.</w:t>
            </w:r>
          </w:p>
        </w:tc>
      </w:tr>
    </w:tbl>
    <w:p>
      <w:pPr>
        <w:pStyle w:val="Heading2"/>
      </w:pPr>
      <w:r>
        <w:t>School liaison duties</w:t>
      </w:r>
    </w:p>
    <w:p>
      <w:pPr>
        <w:pStyle w:val="ListBullet"/>
        <w:spacing w:after="50"/>
      </w:pPr>
      <w:r>
        <w:t>Identify eligible students or recent graduates and explain that participation is voluntary.</w:t>
      </w:r>
    </w:p>
    <w:p>
      <w:pPr>
        <w:pStyle w:val="ListBullet"/>
        <w:spacing w:after="50"/>
      </w:pPr>
      <w:r>
        <w:t>Clarify whether the relationship is extracurricular, for credit, observational, or a formal supervised placement.</w:t>
      </w:r>
    </w:p>
    <w:p>
      <w:pPr>
        <w:pStyle w:val="ListBullet"/>
        <w:spacing w:after="50"/>
      </w:pPr>
      <w:r>
        <w:t>Name a school contact for concerns, accommodations, conduct, or student-status changes.</w:t>
      </w:r>
    </w:p>
    <w:p>
      <w:pPr>
        <w:pStyle w:val="ListBullet"/>
        <w:spacing w:after="50"/>
      </w:pPr>
      <w:r>
        <w:t>Coordinate any required background checks, affiliation agreements, insurance, or evaluations.</w:t>
      </w:r>
    </w:p>
    <w:p>
      <w:pPr>
        <w:pStyle w:val="ListBullet"/>
        <w:spacing w:after="50"/>
      </w:pPr>
      <w:r>
        <w:t>Avoid representing NGAOM mentors as school faculty or clinical supervisors unless separately appointed.</w:t>
      </w:r>
    </w:p>
    <w:p>
      <w:pPr>
        <w:pStyle w:val="Heading1"/>
      </w:pPr>
      <w:r>
        <w:t>9. Ethics, privacy, risk, and safeguards</w:t>
      </w:r>
    </w:p>
    <w:p>
      <w:r>
        <w:t>The program should be educational and supportive while preserving each practitioner's independent duties. NCBAHM requires certificants to follow its Code of Ethics and professional conduct procedures.[6] State law and board rules remain controlling.</w:t>
      </w:r>
    </w:p>
    <w:p>
      <w:pPr>
        <w:pStyle w:val="Heading2"/>
      </w:pPr>
      <w:r>
        <w:t>Minimum program safeguards</w:t>
      </w:r>
    </w:p>
    <w:p>
      <w:pPr>
        <w:pStyle w:val="ListBullet"/>
        <w:spacing w:after="50"/>
      </w:pPr>
      <w:r>
        <w:t>Written mentor-mentee compact and informed boundary statement.</w:t>
      </w:r>
    </w:p>
    <w:p>
      <w:pPr>
        <w:pStyle w:val="ListBullet"/>
        <w:spacing w:after="50"/>
      </w:pPr>
      <w:r>
        <w:t>License and professional-standing verification at entry and annually.</w:t>
      </w:r>
    </w:p>
    <w:p>
      <w:pPr>
        <w:pStyle w:val="ListBullet"/>
        <w:spacing w:after="50"/>
      </w:pPr>
      <w:r>
        <w:t>Attestation of professional liability coverage for licensed clinical participants.</w:t>
      </w:r>
    </w:p>
    <w:p>
      <w:pPr>
        <w:pStyle w:val="ListBullet"/>
        <w:spacing w:after="50"/>
      </w:pPr>
      <w:r>
        <w:t>Short orientation on confidentiality, de-identification, mandatory reporting, harassment, discrimination, and conflicts.</w:t>
      </w:r>
    </w:p>
    <w:p>
      <w:pPr>
        <w:pStyle w:val="ListBullet"/>
        <w:spacing w:after="50"/>
      </w:pPr>
      <w:r>
        <w:t>No patient-identifying information in NGAOM applications, meeting logs, surveys, ordinary email, or text messages.</w:t>
      </w:r>
    </w:p>
    <w:p>
      <w:pPr>
        <w:pStyle w:val="ListBullet"/>
        <w:spacing w:after="50"/>
      </w:pPr>
      <w:r>
        <w:t>Clear reporting route for safety, impairment, exploitation, harassment, scope, or licensure concerns.</w:t>
      </w:r>
    </w:p>
    <w:p>
      <w:pPr>
        <w:pStyle w:val="ListBullet"/>
        <w:spacing w:after="50"/>
      </w:pPr>
      <w:r>
        <w:t>Prompt pause/removal procedure and a non-retaliatory rematching option.</w:t>
      </w:r>
    </w:p>
    <w:p>
      <w:pPr>
        <w:pStyle w:val="ListBullet"/>
        <w:spacing w:after="50"/>
      </w:pPr>
      <w:r>
        <w:t>Legal and insurance review before NGAOM sponsors observation, externship, chart access, CE credit, or paid consulting.</w:t>
      </w:r>
    </w:p>
    <w:p>
      <w:pPr>
        <w:pStyle w:val="ListBullet"/>
        <w:spacing w:after="50"/>
      </w:pPr>
      <w:r>
        <w:t>Data minimization: record attendance, goals, and program outcomes, not detailed case content.</w:t>
      </w:r>
    </w:p>
    <w:p>
      <w:pPr>
        <w:pStyle w:val="Heading2"/>
      </w:pPr>
      <w:r>
        <w:t>Case discussion rule</w:t>
      </w:r>
    </w:p>
    <w:tbl>
      <w:tblPr>
        <w:tblW w:type="auto" w:w="0"/>
        <w:jc w:val="center"/>
        <w:tblLook w:firstColumn="1" w:firstRow="1" w:lastColumn="0" w:lastRow="0" w:noHBand="0" w:noVBand="1" w:val="04A0"/>
      </w:tblPr>
      <w:tblGrid>
        <w:gridCol w:w="10080"/>
      </w:tblGrid>
      <w:tr>
        <w:tc>
          <w:tcPr>
            <w:tcW w:type="dxa" w:w="10080"/>
            <w:shd w:fill="FFF5D9"/>
            <w:tcMar>
              <w:top w:w="130" w:type="dxa"/>
              <w:start w:w="140" w:type="dxa"/>
              <w:bottom w:w="130" w:type="dxa"/>
              <w:end w:w="140" w:type="dxa"/>
            </w:tcMar>
          </w:tcPr>
          <w:p>
            <w:pPr>
              <w:spacing w:after="60"/>
            </w:pPr>
            <w:r>
              <w:rPr>
                <w:b/>
                <w:color w:val="2E6B3A"/>
              </w:rPr>
              <w:t xml:space="preserve">Use the minimum necessary information: </w:t>
            </w:r>
            <w:r>
              <w:t>Discuss patterns, reasoning, red flags, communication, and general management using hypothetical or properly de-identified facts. Remove names, initials, exact dates, contact details, photographs, record numbers, distinctive life events, and other combinations that could identify a patient. When doubt remains, do not share the case through the mentorship program.</w:t>
            </w:r>
          </w:p>
        </w:tc>
      </w:tr>
    </w:tbl>
    <w:p>
      <w:pPr>
        <w:spacing w:after="0"/>
      </w:pPr>
    </w:p>
    <w:p>
      <w:pPr>
        <w:pStyle w:val="Heading2"/>
      </w:pPr>
      <w:r>
        <w:t>Escalation guide</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vAlign w:val="center"/>
            <w:tcMar>
              <w:top w:w="80" w:type="dxa"/>
              <w:start w:w="90" w:type="dxa"/>
              <w:bottom w:w="80" w:type="dxa"/>
              <w:end w:w="90" w:type="dxa"/>
            </w:tcMar>
            <w:shd w:fill="2E6B3A"/>
          </w:tcPr>
          <w:p>
            <w:pPr>
              <w:spacing w:after="40" w:before="20"/>
            </w:pPr>
            <w:r>
              <w:rPr>
                <w:rFonts w:ascii="Aptos" w:hAnsi="Aptos"/>
                <w:b/>
                <w:color w:val="FFFFFF"/>
                <w:sz w:val="17"/>
              </w:rPr>
              <w:t>Concern</w:t>
            </w:r>
          </w:p>
        </w:tc>
        <w:tc>
          <w:tcPr>
            <w:tcW w:type="dxa" w:w="7200"/>
            <w:vAlign w:val="center"/>
            <w:tcMar>
              <w:top w:w="80" w:type="dxa"/>
              <w:start w:w="90" w:type="dxa"/>
              <w:bottom w:w="80" w:type="dxa"/>
              <w:end w:w="90" w:type="dxa"/>
            </w:tcMar>
            <w:shd w:fill="2E6B3A"/>
          </w:tcPr>
          <w:p>
            <w:pPr>
              <w:spacing w:after="40" w:before="20"/>
            </w:pPr>
            <w:r>
              <w:rPr>
                <w:rFonts w:ascii="Aptos" w:hAnsi="Aptos"/>
                <w:b/>
                <w:color w:val="FFFFFF"/>
                <w:sz w:val="17"/>
              </w:rPr>
              <w:t>Response</w:t>
            </w:r>
          </w:p>
        </w:tc>
      </w:tr>
      <w:tr>
        <w:tc>
          <w:tcPr>
            <w:tcW w:type="dxa" w:w="2880"/>
            <w:vAlign w:val="center"/>
            <w:tcMar>
              <w:top w:w="80" w:type="dxa"/>
              <w:start w:w="90" w:type="dxa"/>
              <w:bottom w:w="80" w:type="dxa"/>
              <w:end w:w="90" w:type="dxa"/>
            </w:tcMar>
          </w:tcPr>
          <w:p>
            <w:pPr>
              <w:spacing w:after="40" w:before="20"/>
            </w:pPr>
            <w:r>
              <w:rPr>
                <w:rFonts w:ascii="Aptos" w:hAnsi="Aptos"/>
                <w:sz w:val="17"/>
              </w:rPr>
              <w:t>Urgent patient safety</w:t>
            </w:r>
          </w:p>
        </w:tc>
        <w:tc>
          <w:tcPr>
            <w:tcW w:type="dxa" w:w="7200"/>
            <w:vAlign w:val="center"/>
            <w:tcMar>
              <w:top w:w="80" w:type="dxa"/>
              <w:start w:w="90" w:type="dxa"/>
              <w:bottom w:w="80" w:type="dxa"/>
              <w:end w:w="90" w:type="dxa"/>
            </w:tcMar>
          </w:tcPr>
          <w:p>
            <w:pPr>
              <w:spacing w:after="40" w:before="20"/>
            </w:pPr>
            <w:r>
              <w:rPr>
                <w:rFonts w:ascii="Aptos" w:hAnsi="Aptos"/>
                <w:sz w:val="17"/>
              </w:rPr>
              <w:t>Mentee uses emergency/referral procedures and appropriate treating or supervisory resources; mentor does not manage the emergency.</w:t>
            </w:r>
          </w:p>
        </w:tc>
      </w:tr>
      <w:tr>
        <w:tc>
          <w:tcPr>
            <w:tcW w:type="dxa" w:w="2880"/>
            <w:vAlign w:val="center"/>
            <w:tcMar>
              <w:top w:w="80" w:type="dxa"/>
              <w:start w:w="90" w:type="dxa"/>
              <w:bottom w:w="80" w:type="dxa"/>
              <w:end w:w="90" w:type="dxa"/>
            </w:tcMar>
            <w:shd w:fill="F6F8F6"/>
          </w:tcPr>
          <w:p>
            <w:pPr>
              <w:spacing w:after="40" w:before="20"/>
            </w:pPr>
            <w:r>
              <w:rPr>
                <w:rFonts w:ascii="Aptos" w:hAnsi="Aptos"/>
                <w:sz w:val="17"/>
              </w:rPr>
              <w:t>Possible scope or licensure violation</w:t>
            </w:r>
          </w:p>
        </w:tc>
        <w:tc>
          <w:tcPr>
            <w:tcW w:type="dxa" w:w="7200"/>
            <w:vAlign w:val="center"/>
            <w:tcMar>
              <w:top w:w="80" w:type="dxa"/>
              <w:start w:w="90" w:type="dxa"/>
              <w:bottom w:w="80" w:type="dxa"/>
              <w:end w:w="90" w:type="dxa"/>
            </w:tcMar>
            <w:shd w:fill="F6F8F6"/>
          </w:tcPr>
          <w:p>
            <w:pPr>
              <w:spacing w:after="40" w:before="20"/>
            </w:pPr>
            <w:r>
              <w:rPr>
                <w:rFonts w:ascii="Aptos" w:hAnsi="Aptos"/>
                <w:sz w:val="17"/>
              </w:rPr>
              <w:t>Pause the activity; consult the state board, qualified counsel, insurer, or employer/school as appropriate; notify NGAOM program lead when program safety is implicated.</w:t>
            </w:r>
          </w:p>
        </w:tc>
      </w:tr>
      <w:tr>
        <w:tc>
          <w:tcPr>
            <w:tcW w:type="dxa" w:w="2880"/>
            <w:vAlign w:val="center"/>
            <w:tcMar>
              <w:top w:w="80" w:type="dxa"/>
              <w:start w:w="90" w:type="dxa"/>
              <w:bottom w:w="80" w:type="dxa"/>
              <w:end w:w="90" w:type="dxa"/>
            </w:tcMar>
          </w:tcPr>
          <w:p>
            <w:pPr>
              <w:spacing w:after="40" w:before="20"/>
            </w:pPr>
            <w:r>
              <w:rPr>
                <w:rFonts w:ascii="Aptos" w:hAnsi="Aptos"/>
                <w:sz w:val="17"/>
              </w:rPr>
              <w:t>Harassment, discrimination, exploitation, or retaliation</w:t>
            </w:r>
          </w:p>
        </w:tc>
        <w:tc>
          <w:tcPr>
            <w:tcW w:type="dxa" w:w="7200"/>
            <w:vAlign w:val="center"/>
            <w:tcMar>
              <w:top w:w="80" w:type="dxa"/>
              <w:start w:w="90" w:type="dxa"/>
              <w:bottom w:w="80" w:type="dxa"/>
              <w:end w:w="90" w:type="dxa"/>
            </w:tcMar>
          </w:tcPr>
          <w:p>
            <w:pPr>
              <w:spacing w:after="40" w:before="20"/>
            </w:pPr>
            <w:r>
              <w:rPr>
                <w:rFonts w:ascii="Aptos" w:hAnsi="Aptos"/>
                <w:sz w:val="17"/>
              </w:rPr>
              <w:t>End or pause contact; preserve relevant communications; contact the NGAOM program lead; offer immediate rematch and follow governing reporting duties.</w:t>
            </w:r>
          </w:p>
        </w:tc>
      </w:tr>
      <w:tr>
        <w:tc>
          <w:tcPr>
            <w:tcW w:type="dxa" w:w="2880"/>
            <w:vAlign w:val="center"/>
            <w:tcMar>
              <w:top w:w="80" w:type="dxa"/>
              <w:start w:w="90" w:type="dxa"/>
              <w:bottom w:w="80" w:type="dxa"/>
              <w:end w:w="90" w:type="dxa"/>
            </w:tcMar>
            <w:shd w:fill="F6F8F6"/>
          </w:tcPr>
          <w:p>
            <w:pPr>
              <w:spacing w:after="40" w:before="20"/>
            </w:pPr>
            <w:r>
              <w:rPr>
                <w:rFonts w:ascii="Aptos" w:hAnsi="Aptos"/>
                <w:sz w:val="17"/>
              </w:rPr>
              <w:t>Impairment or serious well-being concern</w:t>
            </w:r>
          </w:p>
        </w:tc>
        <w:tc>
          <w:tcPr>
            <w:tcW w:type="dxa" w:w="7200"/>
            <w:vAlign w:val="center"/>
            <w:tcMar>
              <w:top w:w="80" w:type="dxa"/>
              <w:start w:w="90" w:type="dxa"/>
              <w:bottom w:w="80" w:type="dxa"/>
              <w:end w:w="90" w:type="dxa"/>
            </w:tcMar>
            <w:shd w:fill="F6F8F6"/>
          </w:tcPr>
          <w:p>
            <w:pPr>
              <w:spacing w:after="40" w:before="20"/>
            </w:pPr>
            <w:r>
              <w:rPr>
                <w:rFonts w:ascii="Aptos" w:hAnsi="Aptos"/>
                <w:sz w:val="17"/>
              </w:rPr>
              <w:t>Encourage appropriate professional help and follow applicable reporting and safety obligations.</w:t>
            </w:r>
          </w:p>
        </w:tc>
      </w:tr>
      <w:tr>
        <w:tc>
          <w:tcPr>
            <w:tcW w:type="dxa" w:w="2880"/>
            <w:vAlign w:val="center"/>
            <w:tcMar>
              <w:top w:w="80" w:type="dxa"/>
              <w:start w:w="90" w:type="dxa"/>
              <w:bottom w:w="80" w:type="dxa"/>
              <w:end w:w="90" w:type="dxa"/>
            </w:tcMar>
          </w:tcPr>
          <w:p>
            <w:pPr>
              <w:spacing w:after="40" w:before="20"/>
            </w:pPr>
            <w:r>
              <w:rPr>
                <w:rFonts w:ascii="Aptos" w:hAnsi="Aptos"/>
                <w:sz w:val="17"/>
              </w:rPr>
              <w:t>Ordinary mismatch</w:t>
            </w:r>
          </w:p>
        </w:tc>
        <w:tc>
          <w:tcPr>
            <w:tcW w:type="dxa" w:w="7200"/>
            <w:vAlign w:val="center"/>
            <w:tcMar>
              <w:top w:w="80" w:type="dxa"/>
              <w:start w:w="90" w:type="dxa"/>
              <w:bottom w:w="80" w:type="dxa"/>
              <w:end w:w="90" w:type="dxa"/>
            </w:tcMar>
          </w:tcPr>
          <w:p>
            <w:pPr>
              <w:spacing w:after="40" w:before="20"/>
            </w:pPr>
            <w:r>
              <w:rPr>
                <w:rFonts w:ascii="Aptos" w:hAnsi="Aptos"/>
                <w:sz w:val="17"/>
              </w:rPr>
              <w:t>Request a confidential rematch; no fault finding is required.</w:t>
            </w:r>
          </w:p>
        </w:tc>
      </w:tr>
    </w:tbl>
    <w:p>
      <w:pPr>
        <w:pStyle w:val="Heading1"/>
      </w:pPr>
      <w:r>
        <w:t>10. Administration and evaluation</w:t>
      </w:r>
    </w:p>
    <w:p>
      <w:pPr>
        <w:pStyle w:val="Heading2"/>
      </w:pPr>
      <w:r>
        <w:t>Minimum staffing</w:t>
      </w:r>
    </w:p>
    <w:p>
      <w:pPr>
        <w:pStyle w:val="ListBullet"/>
        <w:spacing w:after="50"/>
      </w:pPr>
      <w:r>
        <w:t>National program director: policy, partnerships, safety, annual report, and escalation.</w:t>
      </w:r>
    </w:p>
    <w:p>
      <w:pPr>
        <w:pStyle w:val="ListBullet"/>
        <w:spacing w:after="50"/>
      </w:pPr>
      <w:r>
        <w:t>Matching coordinator: applications, license checks, matching, orientation, reminders, and rematching.</w:t>
      </w:r>
    </w:p>
    <w:p>
      <w:pPr>
        <w:pStyle w:val="ListBullet"/>
        <w:spacing w:after="50"/>
      </w:pPr>
      <w:r>
        <w:t>State resource advisers: limited state-specific orientation and referral to authoritative sources.</w:t>
      </w:r>
    </w:p>
    <w:p>
      <w:pPr>
        <w:pStyle w:val="ListBullet"/>
        <w:spacing w:after="50"/>
      </w:pPr>
      <w:r>
        <w:t>School liaison coordinator: maintains twice-yearly school contact registry and partnership agreements.</w:t>
      </w:r>
    </w:p>
    <w:p>
      <w:pPr>
        <w:pStyle w:val="ListBullet"/>
        <w:spacing w:after="50"/>
      </w:pPr>
      <w:r>
        <w:t>Advisory committee: experienced clinicians, early-career member, educator, compliance/risk voice, and practice-management expertise.</w:t>
      </w:r>
    </w:p>
    <w:p>
      <w:pPr>
        <w:pStyle w:val="Heading2"/>
      </w:pPr>
      <w:r>
        <w:t>Pilot recommendation</w:t>
      </w:r>
    </w:p>
    <w:p>
      <w:r>
        <w:t>Begin with a six-month pilot of 15-25 matched pairs in 5-8 states, including at least one state with many schools, one rural state, and one state where mentor availability is limited. Use the full 12-month cadence for pairs that start in the pilot; assess operations at months 1, 3, and 6 before expanding nationwide.</w:t>
      </w:r>
    </w:p>
    <w:p>
      <w:pPr>
        <w:pStyle w:val="Heading2"/>
      </w:pPr>
      <w:r>
        <w:t>Outcome measures</w:t>
      </w:r>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1728"/>
            <w:vAlign w:val="center"/>
            <w:tcMar>
              <w:top w:w="80" w:type="dxa"/>
              <w:start w:w="90" w:type="dxa"/>
              <w:bottom w:w="80" w:type="dxa"/>
              <w:end w:w="90" w:type="dxa"/>
            </w:tcMar>
            <w:shd w:fill="2E6B3A"/>
          </w:tcPr>
          <w:p>
            <w:pPr>
              <w:spacing w:after="40" w:before="20"/>
            </w:pPr>
            <w:r>
              <w:rPr>
                <w:rFonts w:ascii="Aptos" w:hAnsi="Aptos"/>
                <w:b/>
                <w:color w:val="FFFFFF"/>
                <w:sz w:val="17"/>
              </w:rPr>
              <w:t>Domain</w:t>
            </w:r>
          </w:p>
        </w:tc>
        <w:tc>
          <w:tcPr>
            <w:tcW w:type="dxa" w:w="6336"/>
            <w:vAlign w:val="center"/>
            <w:tcMar>
              <w:top w:w="80" w:type="dxa"/>
              <w:start w:w="90" w:type="dxa"/>
              <w:bottom w:w="80" w:type="dxa"/>
              <w:end w:w="90" w:type="dxa"/>
            </w:tcMar>
            <w:shd w:fill="2E6B3A"/>
          </w:tcPr>
          <w:p>
            <w:pPr>
              <w:spacing w:after="40" w:before="20"/>
            </w:pPr>
            <w:r>
              <w:rPr>
                <w:rFonts w:ascii="Aptos" w:hAnsi="Aptos"/>
                <w:b/>
                <w:color w:val="FFFFFF"/>
                <w:sz w:val="17"/>
              </w:rPr>
              <w:t>Measure</w:t>
            </w:r>
          </w:p>
        </w:tc>
        <w:tc>
          <w:tcPr>
            <w:tcW w:type="dxa" w:w="2016"/>
            <w:vAlign w:val="center"/>
            <w:tcMar>
              <w:top w:w="80" w:type="dxa"/>
              <w:start w:w="90" w:type="dxa"/>
              <w:bottom w:w="80" w:type="dxa"/>
              <w:end w:w="90" w:type="dxa"/>
            </w:tcMar>
            <w:shd w:fill="2E6B3A"/>
          </w:tcPr>
          <w:p>
            <w:pPr>
              <w:spacing w:after="40" w:before="20"/>
            </w:pPr>
            <w:r>
              <w:rPr>
                <w:rFonts w:ascii="Aptos" w:hAnsi="Aptos"/>
                <w:b/>
                <w:color w:val="FFFFFF"/>
                <w:sz w:val="17"/>
              </w:rPr>
              <w:t>Timing</w:t>
            </w:r>
          </w:p>
        </w:tc>
      </w:tr>
      <w:tr>
        <w:tc>
          <w:tcPr>
            <w:tcW w:type="dxa" w:w="1728"/>
            <w:vAlign w:val="center"/>
            <w:tcMar>
              <w:top w:w="80" w:type="dxa"/>
              <w:start w:w="90" w:type="dxa"/>
              <w:bottom w:w="80" w:type="dxa"/>
              <w:end w:w="90" w:type="dxa"/>
            </w:tcMar>
          </w:tcPr>
          <w:p>
            <w:pPr>
              <w:spacing w:after="40" w:before="20"/>
            </w:pPr>
            <w:r>
              <w:rPr>
                <w:rFonts w:ascii="Aptos" w:hAnsi="Aptos"/>
                <w:sz w:val="17"/>
              </w:rPr>
              <w:t>Participation</w:t>
            </w:r>
          </w:p>
        </w:tc>
        <w:tc>
          <w:tcPr>
            <w:tcW w:type="dxa" w:w="6336"/>
            <w:vAlign w:val="center"/>
            <w:tcMar>
              <w:top w:w="80" w:type="dxa"/>
              <w:start w:w="90" w:type="dxa"/>
              <w:bottom w:w="80" w:type="dxa"/>
              <w:end w:w="90" w:type="dxa"/>
            </w:tcMar>
          </w:tcPr>
          <w:p>
            <w:pPr>
              <w:spacing w:after="40" w:before="20"/>
            </w:pPr>
            <w:r>
              <w:rPr>
                <w:rFonts w:ascii="Aptos" w:hAnsi="Aptos"/>
                <w:sz w:val="17"/>
              </w:rPr>
              <w:t>Meetings completed; retention; rematch rate; mentor hours</w:t>
            </w:r>
          </w:p>
        </w:tc>
        <w:tc>
          <w:tcPr>
            <w:tcW w:type="dxa" w:w="2016"/>
            <w:vAlign w:val="center"/>
            <w:tcMar>
              <w:top w:w="80" w:type="dxa"/>
              <w:start w:w="90" w:type="dxa"/>
              <w:bottom w:w="80" w:type="dxa"/>
              <w:end w:w="90" w:type="dxa"/>
            </w:tcMar>
          </w:tcPr>
          <w:p>
            <w:pPr>
              <w:spacing w:after="40" w:before="20"/>
            </w:pPr>
            <w:r>
              <w:rPr>
                <w:rFonts w:ascii="Aptos" w:hAnsi="Aptos"/>
                <w:sz w:val="17"/>
              </w:rPr>
              <w:t>Monthly/quarterly</w:t>
            </w:r>
          </w:p>
        </w:tc>
      </w:tr>
      <w:tr>
        <w:tc>
          <w:tcPr>
            <w:tcW w:type="dxa" w:w="1728"/>
            <w:vAlign w:val="center"/>
            <w:tcMar>
              <w:top w:w="80" w:type="dxa"/>
              <w:start w:w="90" w:type="dxa"/>
              <w:bottom w:w="80" w:type="dxa"/>
              <w:end w:w="90" w:type="dxa"/>
            </w:tcMar>
            <w:shd w:fill="F6F8F6"/>
          </w:tcPr>
          <w:p>
            <w:pPr>
              <w:spacing w:after="40" w:before="20"/>
            </w:pPr>
            <w:r>
              <w:rPr>
                <w:rFonts w:ascii="Aptos" w:hAnsi="Aptos"/>
                <w:sz w:val="17"/>
              </w:rPr>
              <w:t>Confidence</w:t>
            </w:r>
          </w:p>
        </w:tc>
        <w:tc>
          <w:tcPr>
            <w:tcW w:type="dxa" w:w="6336"/>
            <w:vAlign w:val="center"/>
            <w:tcMar>
              <w:top w:w="80" w:type="dxa"/>
              <w:start w:w="90" w:type="dxa"/>
              <w:bottom w:w="80" w:type="dxa"/>
              <w:end w:w="90" w:type="dxa"/>
            </w:tcMar>
            <w:shd w:fill="F6F8F6"/>
          </w:tcPr>
          <w:p>
            <w:pPr>
              <w:spacing w:after="40" w:before="20"/>
            </w:pPr>
            <w:r>
              <w:rPr>
                <w:rFonts w:ascii="Aptos" w:hAnsi="Aptos"/>
                <w:sz w:val="17"/>
              </w:rPr>
              <w:t>Self-rated confidence in safety, documentation, business, and referral (1-5)</w:t>
            </w:r>
          </w:p>
        </w:tc>
        <w:tc>
          <w:tcPr>
            <w:tcW w:type="dxa" w:w="2016"/>
            <w:vAlign w:val="center"/>
            <w:tcMar>
              <w:top w:w="80" w:type="dxa"/>
              <w:start w:w="90" w:type="dxa"/>
              <w:bottom w:w="80" w:type="dxa"/>
              <w:end w:w="90" w:type="dxa"/>
            </w:tcMar>
            <w:shd w:fill="F6F8F6"/>
          </w:tcPr>
          <w:p>
            <w:pPr>
              <w:spacing w:after="40" w:before="20"/>
            </w:pPr>
            <w:r>
              <w:rPr>
                <w:rFonts w:ascii="Aptos" w:hAnsi="Aptos"/>
                <w:sz w:val="17"/>
              </w:rPr>
              <w:t>Entry, 3, 6, 12 months</w:t>
            </w:r>
          </w:p>
        </w:tc>
      </w:tr>
      <w:tr>
        <w:tc>
          <w:tcPr>
            <w:tcW w:type="dxa" w:w="1728"/>
            <w:vAlign w:val="center"/>
            <w:tcMar>
              <w:top w:w="80" w:type="dxa"/>
              <w:start w:w="90" w:type="dxa"/>
              <w:bottom w:w="80" w:type="dxa"/>
              <w:end w:w="90" w:type="dxa"/>
            </w:tcMar>
          </w:tcPr>
          <w:p>
            <w:pPr>
              <w:spacing w:after="40" w:before="20"/>
            </w:pPr>
            <w:r>
              <w:rPr>
                <w:rFonts w:ascii="Aptos" w:hAnsi="Aptos"/>
                <w:sz w:val="17"/>
              </w:rPr>
              <w:t>Implementation</w:t>
            </w:r>
          </w:p>
        </w:tc>
        <w:tc>
          <w:tcPr>
            <w:tcW w:type="dxa" w:w="6336"/>
            <w:vAlign w:val="center"/>
            <w:tcMar>
              <w:top w:w="80" w:type="dxa"/>
              <w:start w:w="90" w:type="dxa"/>
              <w:bottom w:w="80" w:type="dxa"/>
              <w:end w:w="90" w:type="dxa"/>
            </w:tcMar>
          </w:tcPr>
          <w:p>
            <w:pPr>
              <w:spacing w:after="40" w:before="20"/>
            </w:pPr>
            <w:r>
              <w:rPr>
                <w:rFonts w:ascii="Aptos" w:hAnsi="Aptos"/>
                <w:sz w:val="17"/>
              </w:rPr>
              <w:t>Percentage completing individual development plan and selected work products</w:t>
            </w:r>
          </w:p>
        </w:tc>
        <w:tc>
          <w:tcPr>
            <w:tcW w:type="dxa" w:w="2016"/>
            <w:vAlign w:val="center"/>
            <w:tcMar>
              <w:top w:w="80" w:type="dxa"/>
              <w:start w:w="90" w:type="dxa"/>
              <w:bottom w:w="80" w:type="dxa"/>
              <w:end w:w="90" w:type="dxa"/>
            </w:tcMar>
          </w:tcPr>
          <w:p>
            <w:pPr>
              <w:spacing w:after="40" w:before="20"/>
            </w:pPr>
            <w:r>
              <w:rPr>
                <w:rFonts w:ascii="Aptos" w:hAnsi="Aptos"/>
                <w:sz w:val="17"/>
              </w:rPr>
              <w:t>3, 6, 12 months</w:t>
            </w:r>
          </w:p>
        </w:tc>
      </w:tr>
      <w:tr>
        <w:tc>
          <w:tcPr>
            <w:tcW w:type="dxa" w:w="1728"/>
            <w:vAlign w:val="center"/>
            <w:tcMar>
              <w:top w:w="80" w:type="dxa"/>
              <w:start w:w="90" w:type="dxa"/>
              <w:bottom w:w="80" w:type="dxa"/>
              <w:end w:w="90" w:type="dxa"/>
            </w:tcMar>
            <w:shd w:fill="F6F8F6"/>
          </w:tcPr>
          <w:p>
            <w:pPr>
              <w:spacing w:after="40" w:before="20"/>
            </w:pPr>
            <w:r>
              <w:rPr>
                <w:rFonts w:ascii="Aptos" w:hAnsi="Aptos"/>
                <w:sz w:val="17"/>
              </w:rPr>
              <w:t>Career</w:t>
            </w:r>
          </w:p>
        </w:tc>
        <w:tc>
          <w:tcPr>
            <w:tcW w:type="dxa" w:w="6336"/>
            <w:vAlign w:val="center"/>
            <w:tcMar>
              <w:top w:w="80" w:type="dxa"/>
              <w:start w:w="90" w:type="dxa"/>
              <w:bottom w:w="80" w:type="dxa"/>
              <w:end w:w="90" w:type="dxa"/>
            </w:tcMar>
            <w:shd w:fill="F6F8F6"/>
          </w:tcPr>
          <w:p>
            <w:pPr>
              <w:spacing w:after="40" w:before="20"/>
            </w:pPr>
            <w:r>
              <w:rPr>
                <w:rFonts w:ascii="Aptos" w:hAnsi="Aptos"/>
                <w:sz w:val="17"/>
              </w:rPr>
              <w:t>Employment/practice launch, credentialing progress, professional memberships, referral network</w:t>
            </w:r>
          </w:p>
        </w:tc>
        <w:tc>
          <w:tcPr>
            <w:tcW w:type="dxa" w:w="2016"/>
            <w:vAlign w:val="center"/>
            <w:tcMar>
              <w:top w:w="80" w:type="dxa"/>
              <w:start w:w="90" w:type="dxa"/>
              <w:bottom w:w="80" w:type="dxa"/>
              <w:end w:w="90" w:type="dxa"/>
            </w:tcMar>
            <w:shd w:fill="F6F8F6"/>
          </w:tcPr>
          <w:p>
            <w:pPr>
              <w:spacing w:after="40" w:before="20"/>
            </w:pPr>
            <w:r>
              <w:rPr>
                <w:rFonts w:ascii="Aptos" w:hAnsi="Aptos"/>
                <w:sz w:val="17"/>
              </w:rPr>
              <w:t>6 and 12 months</w:t>
            </w:r>
          </w:p>
        </w:tc>
      </w:tr>
      <w:tr>
        <w:tc>
          <w:tcPr>
            <w:tcW w:type="dxa" w:w="1728"/>
            <w:vAlign w:val="center"/>
            <w:tcMar>
              <w:top w:w="80" w:type="dxa"/>
              <w:start w:w="90" w:type="dxa"/>
              <w:bottom w:w="80" w:type="dxa"/>
              <w:end w:w="90" w:type="dxa"/>
            </w:tcMar>
          </w:tcPr>
          <w:p>
            <w:pPr>
              <w:spacing w:after="40" w:before="20"/>
            </w:pPr>
            <w:r>
              <w:rPr>
                <w:rFonts w:ascii="Aptos" w:hAnsi="Aptos"/>
                <w:sz w:val="17"/>
              </w:rPr>
              <w:t>Safety and quality</w:t>
            </w:r>
          </w:p>
        </w:tc>
        <w:tc>
          <w:tcPr>
            <w:tcW w:type="dxa" w:w="6336"/>
            <w:vAlign w:val="center"/>
            <w:tcMar>
              <w:top w:w="80" w:type="dxa"/>
              <w:start w:w="90" w:type="dxa"/>
              <w:bottom w:w="80" w:type="dxa"/>
              <w:end w:w="90" w:type="dxa"/>
            </w:tcMar>
          </w:tcPr>
          <w:p>
            <w:pPr>
              <w:spacing w:after="40" w:before="20"/>
            </w:pPr>
            <w:r>
              <w:rPr>
                <w:rFonts w:ascii="Aptos" w:hAnsi="Aptos"/>
                <w:sz w:val="17"/>
              </w:rPr>
              <w:t>Self-reported use of red-flag, referral, consent, and documentation practices; no patient data collected</w:t>
            </w:r>
          </w:p>
        </w:tc>
        <w:tc>
          <w:tcPr>
            <w:tcW w:type="dxa" w:w="2016"/>
            <w:vAlign w:val="center"/>
            <w:tcMar>
              <w:top w:w="80" w:type="dxa"/>
              <w:start w:w="90" w:type="dxa"/>
              <w:bottom w:w="80" w:type="dxa"/>
              <w:end w:w="90" w:type="dxa"/>
            </w:tcMar>
          </w:tcPr>
          <w:p>
            <w:pPr>
              <w:spacing w:after="40" w:before="20"/>
            </w:pPr>
            <w:r>
              <w:rPr>
                <w:rFonts w:ascii="Aptos" w:hAnsi="Aptos"/>
                <w:sz w:val="17"/>
              </w:rPr>
              <w:t>Entry and 12 months</w:t>
            </w:r>
          </w:p>
        </w:tc>
      </w:tr>
      <w:tr>
        <w:tc>
          <w:tcPr>
            <w:tcW w:type="dxa" w:w="1728"/>
            <w:vAlign w:val="center"/>
            <w:tcMar>
              <w:top w:w="80" w:type="dxa"/>
              <w:start w:w="90" w:type="dxa"/>
              <w:bottom w:w="80" w:type="dxa"/>
              <w:end w:w="90" w:type="dxa"/>
            </w:tcMar>
            <w:shd w:fill="F6F8F6"/>
          </w:tcPr>
          <w:p>
            <w:pPr>
              <w:spacing w:after="40" w:before="20"/>
            </w:pPr>
            <w:r>
              <w:rPr>
                <w:rFonts w:ascii="Aptos" w:hAnsi="Aptos"/>
                <w:sz w:val="17"/>
              </w:rPr>
              <w:t>Experience</w:t>
            </w:r>
          </w:p>
        </w:tc>
        <w:tc>
          <w:tcPr>
            <w:tcW w:type="dxa" w:w="6336"/>
            <w:vAlign w:val="center"/>
            <w:tcMar>
              <w:top w:w="80" w:type="dxa"/>
              <w:start w:w="90" w:type="dxa"/>
              <w:bottom w:w="80" w:type="dxa"/>
              <w:end w:w="90" w:type="dxa"/>
            </w:tcMar>
            <w:shd w:fill="F6F8F6"/>
          </w:tcPr>
          <w:p>
            <w:pPr>
              <w:spacing w:after="40" w:before="20"/>
            </w:pPr>
            <w:r>
              <w:rPr>
                <w:rFonts w:ascii="Aptos" w:hAnsi="Aptos"/>
                <w:sz w:val="17"/>
              </w:rPr>
              <w:t>Psychological safety, fit, usefulness, burden, and likelihood to recommend</w:t>
            </w:r>
          </w:p>
        </w:tc>
        <w:tc>
          <w:tcPr>
            <w:tcW w:type="dxa" w:w="2016"/>
            <w:vAlign w:val="center"/>
            <w:tcMar>
              <w:top w:w="80" w:type="dxa"/>
              <w:start w:w="90" w:type="dxa"/>
              <w:bottom w:w="80" w:type="dxa"/>
              <w:end w:w="90" w:type="dxa"/>
            </w:tcMar>
            <w:shd w:fill="F6F8F6"/>
          </w:tcPr>
          <w:p>
            <w:pPr>
              <w:spacing w:after="40" w:before="20"/>
            </w:pPr>
            <w:r>
              <w:rPr>
                <w:rFonts w:ascii="Aptos" w:hAnsi="Aptos"/>
                <w:sz w:val="17"/>
              </w:rPr>
              <w:t>1, 6, 12 months</w:t>
            </w:r>
          </w:p>
        </w:tc>
      </w:tr>
    </w:tbl>
    <w:p>
      <w:pPr>
        <w:pStyle w:val="Heading1"/>
      </w:pPr>
      <w:r>
        <w:t>11. Ready-to-use forms and agreements</w:t>
      </w:r>
    </w:p>
    <w:p>
      <w:pPr>
        <w:pStyle w:val="Heading2"/>
      </w:pPr>
      <w:r>
        <w:t>A. Mentor application</w:t>
      </w:r>
    </w:p>
    <w:p>
      <w:pPr>
        <w:pStyle w:val="ListBullet"/>
        <w:spacing w:after="50"/>
      </w:pPr>
      <w:r>
        <w:t>[ ] Name, credentials, pronouns (optional), contact information, state(s), license number(s), and expiration date(s).</w:t>
      </w:r>
    </w:p>
    <w:p>
      <w:pPr>
        <w:pStyle w:val="ListBullet"/>
        <w:spacing w:after="50"/>
      </w:pPr>
      <w:r>
        <w:t>[ ] Years in practice; current and former practice settings; clinical areas; business/reimbursement expertise.</w:t>
      </w:r>
    </w:p>
    <w:p>
      <w:pPr>
        <w:pStyle w:val="ListBullet"/>
        <w:spacing w:after="50"/>
      </w:pPr>
      <w:r>
        <w:t>[ ] Languages, schedule, preferred communication method, and number of mentees (one recommended for first cycle).</w:t>
      </w:r>
    </w:p>
    <w:p>
      <w:pPr>
        <w:pStyle w:val="ListBullet"/>
        <w:spacing w:after="50"/>
      </w:pPr>
      <w:r>
        <w:t>[ ] Populations or practice models the mentor feels equipped to support; areas outside expertise.</w:t>
      </w:r>
    </w:p>
    <w:p>
      <w:pPr>
        <w:pStyle w:val="ListBullet"/>
        <w:spacing w:after="50"/>
      </w:pPr>
      <w:r>
        <w:t>[ ] Professional liability carrier and coverage attestation; disciplinary disclosure and consent to verification.</w:t>
      </w:r>
    </w:p>
    <w:p>
      <w:pPr>
        <w:pStyle w:val="ListBullet"/>
        <w:spacing w:after="50"/>
      </w:pPr>
      <w:r>
        <w:t>[ ] School affiliation/alumni connection and willingness to mentor a student, a licensee, or both.</w:t>
      </w:r>
    </w:p>
    <w:p>
      <w:pPr>
        <w:pStyle w:val="ListBullet"/>
        <w:spacing w:after="50"/>
      </w:pPr>
      <w:r>
        <w:t>[ ] Conflict disclosures, commercial interests, and agreement not to use mentoring primarily for sales or recruitment.</w:t>
      </w:r>
    </w:p>
    <w:p>
      <w:pPr>
        <w:pStyle w:val="ListBullet"/>
        <w:spacing w:after="50"/>
      </w:pPr>
      <w:r>
        <w:t>[ ] Why I wish to mentor; what I hope the mentee will gain; two professional references.</w:t>
      </w:r>
    </w:p>
    <w:p>
      <w:pPr>
        <w:pStyle w:val="Heading2"/>
      </w:pPr>
      <w:r>
        <w:t>B. Mentee application</w:t>
      </w:r>
    </w:p>
    <w:p>
      <w:pPr>
        <w:pStyle w:val="ListBullet"/>
        <w:spacing w:after="50"/>
      </w:pPr>
      <w:r>
        <w:t>[ ] Name, credentials, school, graduation date, certification/licensure status, state, and professional liability coverage when licensed.</w:t>
      </w:r>
    </w:p>
    <w:p>
      <w:pPr>
        <w:pStyle w:val="ListBullet"/>
        <w:spacing w:after="50"/>
      </w:pPr>
      <w:r>
        <w:t>[ ] Current role or practice plan; patient populations; practice setting; clinical and nonclinical interests.</w:t>
      </w:r>
    </w:p>
    <w:p>
      <w:pPr>
        <w:pStyle w:val="ListBullet"/>
        <w:spacing w:after="50"/>
      </w:pPr>
      <w:r>
        <w:t>[ ] Three goals for the next 12 months and the single greatest current obstacle.</w:t>
      </w:r>
    </w:p>
    <w:p>
      <w:pPr>
        <w:pStyle w:val="ListBullet"/>
        <w:spacing w:after="50"/>
      </w:pPr>
      <w:r>
        <w:t>[ ] Preferred mentor qualities, schedule, communication style, languages, and optional identity considerations.</w:t>
      </w:r>
    </w:p>
    <w:p>
      <w:pPr>
        <w:pStyle w:val="ListBullet"/>
        <w:spacing w:after="50"/>
      </w:pPr>
      <w:r>
        <w:t>[ ] Topics requested: safety/referral, charting, business, insurance, VA, workers' compensation, personal injury, employment, marketing, herbs, specialty care, leadership, or other.</w:t>
      </w:r>
    </w:p>
    <w:p>
      <w:pPr>
        <w:pStyle w:val="ListBullet"/>
        <w:spacing w:after="50"/>
      </w:pPr>
      <w:r>
        <w:t>[ ] Agreement to confidentiality, de-identification, professional boundaries, attendance, and program evaluation.</w:t>
      </w:r>
    </w:p>
    <w:p>
      <w:pPr>
        <w:pStyle w:val="Heading2"/>
      </w:pPr>
      <w:r>
        <w:t>C. Individual development plan</w:t>
      </w:r>
    </w:p>
    <w:tbl>
      <w:tblPr>
        <w:tblStyle w:val="TableGrid"/>
        <w:tblW w:type="auto" w:w="0"/>
        <w:jc w:val="center"/>
        <w:tblLayout w:type="autofit"/>
        <w:tblLook w:firstColumn="1" w:firstRow="1" w:lastColumn="0" w:lastRow="0" w:noHBand="0" w:noVBand="1" w:val="04A0"/>
      </w:tblPr>
      <w:tblGrid>
        <w:gridCol w:w="2016"/>
        <w:gridCol w:w="2016"/>
        <w:gridCol w:w="2016"/>
        <w:gridCol w:w="2016"/>
        <w:gridCol w:w="2016"/>
      </w:tblGrid>
      <w:tr>
        <w:trPr>
          <w:tblHeader w:val="true"/>
        </w:trPr>
        <w:tc>
          <w:tcPr>
            <w:tcW w:type="dxa" w:w="1800"/>
            <w:vAlign w:val="center"/>
            <w:tcMar>
              <w:top w:w="80" w:type="dxa"/>
              <w:start w:w="90" w:type="dxa"/>
              <w:bottom w:w="80" w:type="dxa"/>
              <w:end w:w="90" w:type="dxa"/>
            </w:tcMar>
            <w:shd w:fill="2E6B3A"/>
          </w:tcPr>
          <w:p>
            <w:pPr>
              <w:spacing w:after="40" w:before="20"/>
            </w:pPr>
            <w:r>
              <w:rPr>
                <w:rFonts w:ascii="Aptos" w:hAnsi="Aptos"/>
                <w:b/>
                <w:color w:val="FFFFFF"/>
                <w:sz w:val="16"/>
              </w:rPr>
              <w:t>Goal</w:t>
            </w:r>
          </w:p>
        </w:tc>
        <w:tc>
          <w:tcPr>
            <w:tcW w:type="dxa" w:w="2592"/>
            <w:vAlign w:val="center"/>
            <w:tcMar>
              <w:top w:w="80" w:type="dxa"/>
              <w:start w:w="90" w:type="dxa"/>
              <w:bottom w:w="80" w:type="dxa"/>
              <w:end w:w="90" w:type="dxa"/>
            </w:tcMar>
            <w:shd w:fill="2E6B3A"/>
          </w:tcPr>
          <w:p>
            <w:pPr>
              <w:spacing w:after="40" w:before="20"/>
            </w:pPr>
            <w:r>
              <w:rPr>
                <w:rFonts w:ascii="Aptos" w:hAnsi="Aptos"/>
                <w:b/>
                <w:color w:val="FFFFFF"/>
                <w:sz w:val="16"/>
              </w:rPr>
              <w:t>Action steps</w:t>
            </w:r>
          </w:p>
        </w:tc>
        <w:tc>
          <w:tcPr>
            <w:tcW w:type="dxa" w:w="2232"/>
            <w:vAlign w:val="center"/>
            <w:tcMar>
              <w:top w:w="80" w:type="dxa"/>
              <w:start w:w="90" w:type="dxa"/>
              <w:bottom w:w="80" w:type="dxa"/>
              <w:end w:w="90" w:type="dxa"/>
            </w:tcMar>
            <w:shd w:fill="2E6B3A"/>
          </w:tcPr>
          <w:p>
            <w:pPr>
              <w:spacing w:after="40" w:before="20"/>
            </w:pPr>
            <w:r>
              <w:rPr>
                <w:rFonts w:ascii="Aptos" w:hAnsi="Aptos"/>
                <w:b/>
                <w:color w:val="FFFFFF"/>
                <w:sz w:val="16"/>
              </w:rPr>
              <w:t>Evidence of progress</w:t>
            </w:r>
          </w:p>
        </w:tc>
        <w:tc>
          <w:tcPr>
            <w:tcW w:type="dxa" w:w="1440"/>
            <w:vAlign w:val="center"/>
            <w:tcMar>
              <w:top w:w="80" w:type="dxa"/>
              <w:start w:w="90" w:type="dxa"/>
              <w:bottom w:w="80" w:type="dxa"/>
              <w:end w:w="90" w:type="dxa"/>
            </w:tcMar>
            <w:shd w:fill="2E6B3A"/>
          </w:tcPr>
          <w:p>
            <w:pPr>
              <w:spacing w:after="40" w:before="20"/>
            </w:pPr>
            <w:r>
              <w:rPr>
                <w:rFonts w:ascii="Aptos" w:hAnsi="Aptos"/>
                <w:b/>
                <w:color w:val="FFFFFF"/>
                <w:sz w:val="16"/>
              </w:rPr>
              <w:t>Target date</w:t>
            </w:r>
          </w:p>
        </w:tc>
        <w:tc>
          <w:tcPr>
            <w:tcW w:type="dxa" w:w="2016"/>
            <w:vAlign w:val="center"/>
            <w:tcMar>
              <w:top w:w="80" w:type="dxa"/>
              <w:start w:w="90" w:type="dxa"/>
              <w:bottom w:w="80" w:type="dxa"/>
              <w:end w:w="90" w:type="dxa"/>
            </w:tcMar>
            <w:shd w:fill="2E6B3A"/>
          </w:tcPr>
          <w:p>
            <w:pPr>
              <w:spacing w:after="40" w:before="20"/>
            </w:pPr>
            <w:r>
              <w:rPr>
                <w:rFonts w:ascii="Aptos" w:hAnsi="Aptos"/>
                <w:b/>
                <w:color w:val="FFFFFF"/>
                <w:sz w:val="16"/>
              </w:rPr>
              <w:t>Support needed</w:t>
            </w:r>
          </w:p>
        </w:tc>
      </w:tr>
      <w:tr>
        <w:tc>
          <w:tcPr>
            <w:tcW w:type="dxa" w:w="1800"/>
            <w:vAlign w:val="center"/>
            <w:tcMar>
              <w:top w:w="80" w:type="dxa"/>
              <w:start w:w="90" w:type="dxa"/>
              <w:bottom w:w="80" w:type="dxa"/>
              <w:end w:w="90" w:type="dxa"/>
            </w:tcMar>
          </w:tcPr>
          <w:p>
            <w:pPr>
              <w:spacing w:after="40" w:before="20"/>
            </w:pPr>
            <w:r>
              <w:rPr>
                <w:rFonts w:ascii="Aptos" w:hAnsi="Aptos"/>
                <w:sz w:val="16"/>
              </w:rPr>
              <w:t xml:space="preserve"> </w:t>
            </w:r>
          </w:p>
        </w:tc>
        <w:tc>
          <w:tcPr>
            <w:tcW w:type="dxa" w:w="2592"/>
            <w:vAlign w:val="center"/>
            <w:tcMar>
              <w:top w:w="80" w:type="dxa"/>
              <w:start w:w="90" w:type="dxa"/>
              <w:bottom w:w="80" w:type="dxa"/>
              <w:end w:w="90" w:type="dxa"/>
            </w:tcMar>
          </w:tcPr>
          <w:p>
            <w:pPr>
              <w:spacing w:after="40" w:before="20"/>
            </w:pPr>
            <w:r>
              <w:rPr>
                <w:rFonts w:ascii="Aptos" w:hAnsi="Aptos"/>
                <w:sz w:val="16"/>
              </w:rPr>
              <w:t xml:space="preserve"> </w:t>
            </w:r>
          </w:p>
        </w:tc>
        <w:tc>
          <w:tcPr>
            <w:tcW w:type="dxa" w:w="2232"/>
            <w:vAlign w:val="center"/>
            <w:tcMar>
              <w:top w:w="80" w:type="dxa"/>
              <w:start w:w="90" w:type="dxa"/>
              <w:bottom w:w="80" w:type="dxa"/>
              <w:end w:w="90" w:type="dxa"/>
            </w:tcMar>
          </w:tcPr>
          <w:p>
            <w:pPr>
              <w:spacing w:after="40" w:before="20"/>
            </w:pPr>
            <w:r>
              <w:rPr>
                <w:rFonts w:ascii="Aptos" w:hAnsi="Aptos"/>
                <w:sz w:val="16"/>
              </w:rPr>
              <w:t xml:space="preserve"> </w:t>
            </w:r>
          </w:p>
        </w:tc>
        <w:tc>
          <w:tcPr>
            <w:tcW w:type="dxa" w:w="1440"/>
            <w:vAlign w:val="center"/>
            <w:tcMar>
              <w:top w:w="80" w:type="dxa"/>
              <w:start w:w="90" w:type="dxa"/>
              <w:bottom w:w="80" w:type="dxa"/>
              <w:end w:w="90" w:type="dxa"/>
            </w:tcMar>
          </w:tcPr>
          <w:p>
            <w:pPr>
              <w:spacing w:after="40" w:before="20"/>
            </w:pPr>
            <w:r>
              <w:rPr>
                <w:rFonts w:ascii="Aptos" w:hAnsi="Aptos"/>
                <w:sz w:val="16"/>
              </w:rPr>
              <w:t xml:space="preserve"> </w:t>
            </w:r>
          </w:p>
        </w:tc>
        <w:tc>
          <w:tcPr>
            <w:tcW w:type="dxa" w:w="2016"/>
            <w:vAlign w:val="center"/>
            <w:tcMar>
              <w:top w:w="80" w:type="dxa"/>
              <w:start w:w="90" w:type="dxa"/>
              <w:bottom w:w="80" w:type="dxa"/>
              <w:end w:w="90" w:type="dxa"/>
            </w:tcMar>
          </w:tcPr>
          <w:p>
            <w:pPr>
              <w:spacing w:after="40" w:before="20"/>
            </w:pPr>
            <w:r>
              <w:rPr>
                <w:rFonts w:ascii="Aptos" w:hAnsi="Aptos"/>
                <w:sz w:val="16"/>
              </w:rPr>
              <w:t xml:space="preserve"> </w:t>
            </w:r>
          </w:p>
        </w:tc>
      </w:tr>
      <w:tr>
        <w:tc>
          <w:tcPr>
            <w:tcW w:type="dxa" w:w="1800"/>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592"/>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232"/>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1440"/>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016"/>
            <w:vAlign w:val="center"/>
            <w:tcMar>
              <w:top w:w="80" w:type="dxa"/>
              <w:start w:w="90" w:type="dxa"/>
              <w:bottom w:w="80" w:type="dxa"/>
              <w:end w:w="90" w:type="dxa"/>
            </w:tcMar>
            <w:shd w:fill="F6F8F6"/>
          </w:tcPr>
          <w:p>
            <w:pPr>
              <w:spacing w:after="40" w:before="20"/>
            </w:pPr>
            <w:r>
              <w:rPr>
                <w:rFonts w:ascii="Aptos" w:hAnsi="Aptos"/>
                <w:sz w:val="16"/>
              </w:rPr>
              <w:t xml:space="preserve"> </w:t>
            </w:r>
          </w:p>
        </w:tc>
      </w:tr>
      <w:tr>
        <w:tc>
          <w:tcPr>
            <w:tcW w:type="dxa" w:w="1800"/>
            <w:vAlign w:val="center"/>
            <w:tcMar>
              <w:top w:w="80" w:type="dxa"/>
              <w:start w:w="90" w:type="dxa"/>
              <w:bottom w:w="80" w:type="dxa"/>
              <w:end w:w="90" w:type="dxa"/>
            </w:tcMar>
          </w:tcPr>
          <w:p>
            <w:pPr>
              <w:spacing w:after="40" w:before="20"/>
            </w:pPr>
            <w:r>
              <w:rPr>
                <w:rFonts w:ascii="Aptos" w:hAnsi="Aptos"/>
                <w:sz w:val="16"/>
              </w:rPr>
              <w:t xml:space="preserve"> </w:t>
            </w:r>
          </w:p>
        </w:tc>
        <w:tc>
          <w:tcPr>
            <w:tcW w:type="dxa" w:w="2592"/>
            <w:vAlign w:val="center"/>
            <w:tcMar>
              <w:top w:w="80" w:type="dxa"/>
              <w:start w:w="90" w:type="dxa"/>
              <w:bottom w:w="80" w:type="dxa"/>
              <w:end w:w="90" w:type="dxa"/>
            </w:tcMar>
          </w:tcPr>
          <w:p>
            <w:pPr>
              <w:spacing w:after="40" w:before="20"/>
            </w:pPr>
            <w:r>
              <w:rPr>
                <w:rFonts w:ascii="Aptos" w:hAnsi="Aptos"/>
                <w:sz w:val="16"/>
              </w:rPr>
              <w:t xml:space="preserve"> </w:t>
            </w:r>
          </w:p>
        </w:tc>
        <w:tc>
          <w:tcPr>
            <w:tcW w:type="dxa" w:w="2232"/>
            <w:vAlign w:val="center"/>
            <w:tcMar>
              <w:top w:w="80" w:type="dxa"/>
              <w:start w:w="90" w:type="dxa"/>
              <w:bottom w:w="80" w:type="dxa"/>
              <w:end w:w="90" w:type="dxa"/>
            </w:tcMar>
          </w:tcPr>
          <w:p>
            <w:pPr>
              <w:spacing w:after="40" w:before="20"/>
            </w:pPr>
            <w:r>
              <w:rPr>
                <w:rFonts w:ascii="Aptos" w:hAnsi="Aptos"/>
                <w:sz w:val="16"/>
              </w:rPr>
              <w:t xml:space="preserve"> </w:t>
            </w:r>
          </w:p>
        </w:tc>
        <w:tc>
          <w:tcPr>
            <w:tcW w:type="dxa" w:w="1440"/>
            <w:vAlign w:val="center"/>
            <w:tcMar>
              <w:top w:w="80" w:type="dxa"/>
              <w:start w:w="90" w:type="dxa"/>
              <w:bottom w:w="80" w:type="dxa"/>
              <w:end w:w="90" w:type="dxa"/>
            </w:tcMar>
          </w:tcPr>
          <w:p>
            <w:pPr>
              <w:spacing w:after="40" w:before="20"/>
            </w:pPr>
            <w:r>
              <w:rPr>
                <w:rFonts w:ascii="Aptos" w:hAnsi="Aptos"/>
                <w:sz w:val="16"/>
              </w:rPr>
              <w:t xml:space="preserve"> </w:t>
            </w:r>
          </w:p>
        </w:tc>
        <w:tc>
          <w:tcPr>
            <w:tcW w:type="dxa" w:w="2016"/>
            <w:vAlign w:val="center"/>
            <w:tcMar>
              <w:top w:w="80" w:type="dxa"/>
              <w:start w:w="90" w:type="dxa"/>
              <w:bottom w:w="80" w:type="dxa"/>
              <w:end w:w="90" w:type="dxa"/>
            </w:tcMar>
          </w:tcPr>
          <w:p>
            <w:pPr>
              <w:spacing w:after="40" w:before="20"/>
            </w:pPr>
            <w:r>
              <w:rPr>
                <w:rFonts w:ascii="Aptos" w:hAnsi="Aptos"/>
                <w:sz w:val="16"/>
              </w:rPr>
              <w:t xml:space="preserve"> </w:t>
            </w:r>
          </w:p>
        </w:tc>
      </w:tr>
      <w:tr>
        <w:tc>
          <w:tcPr>
            <w:tcW w:type="dxa" w:w="1800"/>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592"/>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232"/>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1440"/>
            <w:vAlign w:val="center"/>
            <w:tcMar>
              <w:top w:w="80" w:type="dxa"/>
              <w:start w:w="90" w:type="dxa"/>
              <w:bottom w:w="80" w:type="dxa"/>
              <w:end w:w="90" w:type="dxa"/>
            </w:tcMar>
            <w:shd w:fill="F6F8F6"/>
          </w:tcPr>
          <w:p>
            <w:pPr>
              <w:spacing w:after="40" w:before="20"/>
            </w:pPr>
            <w:r>
              <w:rPr>
                <w:rFonts w:ascii="Aptos" w:hAnsi="Aptos"/>
                <w:sz w:val="16"/>
              </w:rPr>
              <w:t xml:space="preserve"> </w:t>
            </w:r>
          </w:p>
        </w:tc>
        <w:tc>
          <w:tcPr>
            <w:tcW w:type="dxa" w:w="2016"/>
            <w:vAlign w:val="center"/>
            <w:tcMar>
              <w:top w:w="80" w:type="dxa"/>
              <w:start w:w="90" w:type="dxa"/>
              <w:bottom w:w="80" w:type="dxa"/>
              <w:end w:w="90" w:type="dxa"/>
            </w:tcMar>
            <w:shd w:fill="F6F8F6"/>
          </w:tcPr>
          <w:p>
            <w:pPr>
              <w:spacing w:after="40" w:before="20"/>
            </w:pPr>
            <w:r>
              <w:rPr>
                <w:rFonts w:ascii="Aptos" w:hAnsi="Aptos"/>
                <w:sz w:val="16"/>
              </w:rPr>
              <w:t xml:space="preserve"> </w:t>
            </w:r>
          </w:p>
        </w:tc>
      </w:tr>
      <w:tr>
        <w:tc>
          <w:tcPr>
            <w:tcW w:type="dxa" w:w="1800"/>
            <w:vAlign w:val="center"/>
            <w:tcMar>
              <w:top w:w="80" w:type="dxa"/>
              <w:start w:w="90" w:type="dxa"/>
              <w:bottom w:w="80" w:type="dxa"/>
              <w:end w:w="90" w:type="dxa"/>
            </w:tcMar>
          </w:tcPr>
          <w:p>
            <w:pPr>
              <w:spacing w:after="40" w:before="20"/>
            </w:pPr>
            <w:r>
              <w:rPr>
                <w:rFonts w:ascii="Aptos" w:hAnsi="Aptos"/>
                <w:sz w:val="16"/>
              </w:rPr>
              <w:t xml:space="preserve"> </w:t>
            </w:r>
          </w:p>
        </w:tc>
        <w:tc>
          <w:tcPr>
            <w:tcW w:type="dxa" w:w="2592"/>
            <w:vAlign w:val="center"/>
            <w:tcMar>
              <w:top w:w="80" w:type="dxa"/>
              <w:start w:w="90" w:type="dxa"/>
              <w:bottom w:w="80" w:type="dxa"/>
              <w:end w:w="90" w:type="dxa"/>
            </w:tcMar>
          </w:tcPr>
          <w:p>
            <w:pPr>
              <w:spacing w:after="40" w:before="20"/>
            </w:pPr>
            <w:r>
              <w:rPr>
                <w:rFonts w:ascii="Aptos" w:hAnsi="Aptos"/>
                <w:sz w:val="16"/>
              </w:rPr>
              <w:t xml:space="preserve"> </w:t>
            </w:r>
          </w:p>
        </w:tc>
        <w:tc>
          <w:tcPr>
            <w:tcW w:type="dxa" w:w="2232"/>
            <w:vAlign w:val="center"/>
            <w:tcMar>
              <w:top w:w="80" w:type="dxa"/>
              <w:start w:w="90" w:type="dxa"/>
              <w:bottom w:w="80" w:type="dxa"/>
              <w:end w:w="90" w:type="dxa"/>
            </w:tcMar>
          </w:tcPr>
          <w:p>
            <w:pPr>
              <w:spacing w:after="40" w:before="20"/>
            </w:pPr>
            <w:r>
              <w:rPr>
                <w:rFonts w:ascii="Aptos" w:hAnsi="Aptos"/>
                <w:sz w:val="16"/>
              </w:rPr>
              <w:t xml:space="preserve"> </w:t>
            </w:r>
          </w:p>
        </w:tc>
        <w:tc>
          <w:tcPr>
            <w:tcW w:type="dxa" w:w="1440"/>
            <w:vAlign w:val="center"/>
            <w:tcMar>
              <w:top w:w="80" w:type="dxa"/>
              <w:start w:w="90" w:type="dxa"/>
              <w:bottom w:w="80" w:type="dxa"/>
              <w:end w:w="90" w:type="dxa"/>
            </w:tcMar>
          </w:tcPr>
          <w:p>
            <w:pPr>
              <w:spacing w:after="40" w:before="20"/>
            </w:pPr>
            <w:r>
              <w:rPr>
                <w:rFonts w:ascii="Aptos" w:hAnsi="Aptos"/>
                <w:sz w:val="16"/>
              </w:rPr>
              <w:t xml:space="preserve"> </w:t>
            </w:r>
          </w:p>
        </w:tc>
        <w:tc>
          <w:tcPr>
            <w:tcW w:type="dxa" w:w="2016"/>
            <w:vAlign w:val="center"/>
            <w:tcMar>
              <w:top w:w="80" w:type="dxa"/>
              <w:start w:w="90" w:type="dxa"/>
              <w:bottom w:w="80" w:type="dxa"/>
              <w:end w:w="90" w:type="dxa"/>
            </w:tcMar>
          </w:tcPr>
          <w:p>
            <w:pPr>
              <w:spacing w:after="40" w:before="20"/>
            </w:pPr>
            <w:r>
              <w:rPr>
                <w:rFonts w:ascii="Aptos" w:hAnsi="Aptos"/>
                <w:sz w:val="16"/>
              </w:rPr>
              <w:t xml:space="preserve"> </w:t>
            </w:r>
          </w:p>
        </w:tc>
      </w:tr>
    </w:tbl>
    <w:p>
      <w:pPr>
        <w:pStyle w:val="Heading2"/>
      </w:pPr>
      <w:r>
        <w:t>D. Mentor-mentee compact</w:t>
      </w:r>
    </w:p>
    <w:p>
      <w:pPr>
        <w:pStyle w:val="ListBullet"/>
        <w:spacing w:after="50"/>
      </w:pPr>
      <w:r>
        <w:t>Purpose. We enter this relationship for professional development, reflection, and support.</w:t>
      </w:r>
    </w:p>
    <w:p>
      <w:pPr>
        <w:pStyle w:val="ListBullet"/>
        <w:spacing w:after="50"/>
      </w:pPr>
      <w:r>
        <w:t>Term. The initial term is 12 months, including a 30-day trial; either participant may end or request rematching at any time.</w:t>
      </w:r>
    </w:p>
    <w:p>
      <w:pPr>
        <w:pStyle w:val="ListBullet"/>
        <w:spacing w:after="50"/>
      </w:pPr>
      <w:r>
        <w:t>Cadence. We will meet according to the agreed schedule and give reasonable notice of changes.</w:t>
      </w:r>
    </w:p>
    <w:p>
      <w:pPr>
        <w:pStyle w:val="ListBullet"/>
        <w:spacing w:after="50"/>
      </w:pPr>
      <w:r>
        <w:t>Preparation. The mentee will normally send an agenda 24 hours in advance; both will complete agreed action items or discuss barriers.</w:t>
      </w:r>
    </w:p>
    <w:p>
      <w:pPr>
        <w:pStyle w:val="ListBullet"/>
        <w:spacing w:after="50"/>
      </w:pPr>
      <w:r>
        <w:t>Confidentiality. We will protect personal and professional information, subject to safety, legal, ethical, and program-reporting obligations.</w:t>
      </w:r>
    </w:p>
    <w:p>
      <w:pPr>
        <w:pStyle w:val="ListBullet"/>
        <w:spacing w:after="50"/>
      </w:pPr>
      <w:r>
        <w:t>Patient information. We will not share identifiable patient information through the program. The mentor is not responsible for the mentee's patients or decisions.</w:t>
      </w:r>
    </w:p>
    <w:p>
      <w:pPr>
        <w:pStyle w:val="ListBullet"/>
        <w:spacing w:after="50"/>
      </w:pPr>
      <w:r>
        <w:t>Scope. Mentoring does not constitute clinical supervision, legal/tax advice, employment, therapy, or emergency consultation.</w:t>
      </w:r>
    </w:p>
    <w:p>
      <w:pPr>
        <w:pStyle w:val="ListBullet"/>
        <w:spacing w:after="50"/>
      </w:pPr>
      <w:r>
        <w:t>Respect. We will communicate without harassment, discrimination, humiliation, coercion, sales pressure, or retaliation.</w:t>
      </w:r>
    </w:p>
    <w:p>
      <w:pPr>
        <w:pStyle w:val="ListBullet"/>
        <w:spacing w:after="50"/>
      </w:pPr>
      <w:r>
        <w:t>Conflicts. We will disclose material financial, employment, referral, product, or other conflicts before acting on them.</w:t>
      </w:r>
    </w:p>
    <w:p>
      <w:pPr>
        <w:pStyle w:val="ListBullet"/>
        <w:spacing w:after="50"/>
      </w:pPr>
      <w:r>
        <w:t>Escalation. We will contact the program promptly about safety, impairment, harassment, exploitation, serious boundary, or licensure concerns.</w:t>
      </w:r>
    </w:p>
    <w:p>
      <w:pPr>
        <w:pStyle w:val="ListBullet"/>
        <w:spacing w:after="50"/>
      </w:pPr>
      <w:r>
        <w:t>Evaluation. We will complete brief program check-ins and may provide candid confidential feedback.</w:t>
      </w:r>
    </w:p>
    <w:p>
      <w:pPr>
        <w:pStyle w:val="ListBullet"/>
        <w:spacing w:after="50"/>
      </w:pPr>
      <w:r>
        <w:t>Independent responsibility. Each participant remains responsible for professional decisions and for verifying applicable law, regulation, payer policy, and institutional requirements.</w:t>
      </w:r>
    </w:p>
    <w:p>
      <w:r>
        <w:t>Mentor name/signature: ______________________________  Date: ____________</w:t>
      </w:r>
    </w:p>
    <w:p>
      <w:r>
        <w:t>Mentee name/signature: ______________________________  Date: ____________</w:t>
      </w:r>
    </w:p>
    <w:p>
      <w:r>
        <w:t>NGAOM coordinator: ___________________________________  Date: ____________</w:t>
      </w:r>
    </w:p>
    <w:p>
      <w:pPr>
        <w:pStyle w:val="Heading2"/>
      </w:pPr>
      <w:r>
        <w:t>E. Meeting note (nonclinical)</w:t>
      </w:r>
    </w:p>
    <w:p>
      <w:r>
        <w:t>Date and duration: ______________________________________________________________</w:t>
      </w:r>
    </w:p>
    <w:p>
      <w:r>
        <w:t>Development goal discussed: ______________________________________________________________</w:t>
      </w:r>
    </w:p>
    <w:p>
      <w:r>
        <w:t>Resources or options identified: ______________________________________________________________</w:t>
      </w:r>
    </w:p>
    <w:p>
      <w:r>
        <w:t>Items requiring external verification: ______________________________________________________________</w:t>
      </w:r>
    </w:p>
    <w:p>
      <w:r>
        <w:t>Mentee action(s) and target date(s): ______________________________________________________________</w:t>
      </w:r>
    </w:p>
    <w:p>
      <w:r>
        <w:t>Mentor action(s), if any: ______________________________________________________________</w:t>
      </w:r>
    </w:p>
    <w:p>
      <w:r>
        <w:t>Next meeting: ______________________________________________________________</w:t>
      </w:r>
    </w:p>
    <w:p>
      <w:pPr>
        <w:pStyle w:val="SmallNote"/>
      </w:pPr>
      <w:r>
        <w:t>Do not record patient names, identifiers, diagnoses, treatment details, or other protected health information.</w:t>
      </w:r>
    </w:p>
    <w:p>
      <w:pPr>
        <w:pStyle w:val="Heading1"/>
      </w:pPr>
      <w:r>
        <w:t>12. Recruitment and outreach language</w:t>
      </w:r>
    </w:p>
    <w:p>
      <w:pPr>
        <w:pStyle w:val="Heading2"/>
      </w:pPr>
      <w:r>
        <w:t>A. National call for mentors</w:t>
      </w:r>
    </w:p>
    <w:p>
      <w:r>
        <w:t>Long-established, successful licensed acupuncturists are wanted to help strengthen the next generation of our profession. The NGAOM National Acupuncture Mentorship Program will match experienced practitioners with senior students, recent graduates, and newly licensed acupuncturists - preferably within the same state.</w:t>
      </w:r>
    </w:p>
    <w:p>
      <w:r>
        <w:t>Mentors will share practical perspective on ethical practice, clinical judgment, documentation, referrals, reimbursement, employment, practice development, professional relationships, and long-term sustainability. This is a structured mentoring role, not unpaid clinical supervision or emergency consultation.</w:t>
      </w:r>
    </w:p>
    <w:p>
      <w:r>
        <w:t>The recommended commitment is 45-60 minutes weekly for the first three months, twice monthly during months four through six, and monthly during months seven through twelve, with limited nonurgent questions as agreed. NGAOM supplies orientation, a mentoring guide, meeting templates, clear boundaries, and coordinator support.</w:t>
      </w:r>
    </w:p>
    <w:p>
      <w:r>
        <w:t>We especially welcome practitioners with at least ten years of successful experience; active, unrestricted licensure; professional liability coverage; sound ethical standing; and a genuine wish to encourage others. Expertise is needed in private practice, employment, hospitals, community care, insurance, VA care, workers' compensation, personal injury, documentation, herbal medicine, teaching, leadership, and many clinical specialties.</w:t>
      </w:r>
    </w:p>
    <w:p>
      <w:r>
        <w:t>If you remember how uncertain the first years of practice could be - and if you have hard-earned knowledge that should not be lost - we invite you to become an NGAOM mentor. Together, we can help new acupuncturists practice safely, earn sustainably, serve patients well, and remain in the profession.</w:t>
      </w:r>
    </w:p>
    <w:p>
      <w:pPr>
        <w:pStyle w:val="Heading2"/>
      </w:pPr>
      <w:r>
        <w:t>B. Email to a school</w:t>
      </w:r>
    </w:p>
    <w:p>
      <w:r>
        <w:rPr>
          <w:b/>
        </w:rPr>
        <w:t>Subject: Partnership invitation - mentors for acupuncture students and new graduates</w:t>
      </w:r>
    </w:p>
    <w:p>
      <w:r>
        <w:t>Dear [Dean/Program Director/Clinical Education or Career Services Contact],</w:t>
      </w:r>
    </w:p>
    <w:p>
      <w:r>
        <w:t>The National Guild of Acupuncture &amp; Oriental Medicine is developing a nationwide mentorship program to connect experienced licensed acupuncturists with final-year students, recent graduates, and newly licensed practitioners. We will seek same-state matches whenever possible and will provide a structured guide, written boundaries, orientation, and program support.</w:t>
      </w:r>
    </w:p>
    <w:p>
      <w:r>
        <w:t>The program can begin as career and professional-readiness mentoring, with no patient care or clinical supervision implied. If your institution later wishes to explore observation or formal preceptorships, those activities would be addressed separately through your school's requirements, state law, patient privacy safeguards, and appropriate insurance.</w:t>
      </w:r>
    </w:p>
    <w:p>
      <w:r>
        <w:t>We would appreciate a short conversation about: (1) the best liaison at your institution; (2) the students or graduates most likely to benefit; (3) your preferred referral process; (4) any existing alumni or mentorship structures; and (5) whether experienced alumni might also volunteer as mentors.</w:t>
      </w:r>
    </w:p>
    <w:p>
      <w:r>
        <w:t>Would you be available for a 30-minute introductory call? We would be pleased to send the full program guide and a draft partnership outline.</w:t>
      </w:r>
    </w:p>
    <w:p>
      <w:r>
        <w:t>Sincerely,</w:t>
        <w:br/>
        <w:t>Steve Paine, OMD, L.Ac.</w:t>
        <w:br/>
        <w:t>President, National Guild of Acupuncture &amp; Oriental Medicine</w:t>
        <w:br/>
        <w:t>NGAOM.org</w:t>
        <w:br/>
        <w:t>[Email] | [Telephone]</w:t>
      </w:r>
    </w:p>
    <w:p>
      <w:pPr>
        <w:pStyle w:val="Heading2"/>
      </w:pPr>
      <w:r>
        <w:t>C. Short website/social post</w:t>
      </w:r>
    </w:p>
    <w:p>
      <w:r>
        <w:t>Experienced acupuncturists: your hard-earned knowledge can change the course of a new practitioner's career. NGAOM is recruiting established, successful licensed acupuncturists nationwide to mentor senior students and newly licensed colleagues. Same-state matching is preferred. A structured guide, orientation, clear boundaries, and coordinator support will be provided. Volunteer approximately one hour weekly at first, tapering over a 12-month relationship. Help a new acupuncturist practice safely, build sustainably, and remain connected to the profession. [Apply / Learn More]</w:t>
      </w:r>
    </w:p>
    <w:p>
      <w:r/>
    </w:p>
    <w:p>
      <w:pPr>
        <w:pStyle w:val="Heading1"/>
      </w:pPr>
      <w:r>
        <w:t>Appendix A. Current acupuncture schools for outreach</w:t>
      </w:r>
    </w:p>
    <w:p>
      <w:r>
        <w:t>The following 44 institutions appear in ACAHM's public Directory of Accredited/Pre-accredited Programs and Institutions as accessed August 30, 2026.[7] Because individual personnel change, NGAOM should verify a named liaison and direct email before every outreach cycle. The best initial targets are the acupuncture program director/dean, clinical education or externship director, alumni relations, and career services.</w:t>
      </w:r>
    </w:p>
    <w:tbl>
      <w:tblPr>
        <w:tblW w:type="auto" w:w="0"/>
        <w:jc w:val="center"/>
        <w:tblLook w:firstColumn="1" w:firstRow="1" w:lastColumn="0" w:lastRow="0" w:noHBand="0" w:noVBand="1" w:val="04A0"/>
      </w:tblPr>
      <w:tblGrid>
        <w:gridCol w:w="10080"/>
      </w:tblGrid>
      <w:tr>
        <w:tc>
          <w:tcPr>
            <w:tcW w:type="dxa" w:w="10080"/>
            <w:shd w:fill="EAF2EB"/>
            <w:tcMar>
              <w:top w:w="130" w:type="dxa"/>
              <w:start w:w="140" w:type="dxa"/>
              <w:bottom w:w="130" w:type="dxa"/>
              <w:end w:w="140" w:type="dxa"/>
            </w:tcMar>
          </w:tcPr>
          <w:p>
            <w:pPr>
              <w:spacing w:after="60"/>
            </w:pPr>
            <w:r>
              <w:rPr>
                <w:b/>
                <w:color w:val="2E6B3A"/>
              </w:rPr>
              <w:t xml:space="preserve">Living directory policy: </w:t>
            </w:r>
            <w:r>
              <w:t>Maintain a separate school liaison registry with contact name, title, direct email, telephone, last verification date, relationship owner, outreach status, and notes. Reverify in January and July each year.</w:t>
            </w:r>
          </w:p>
        </w:tc>
      </w:tr>
    </w:tbl>
    <w:p>
      <w:pPr>
        <w:spacing w:after="0"/>
      </w:pP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rPr>
          <w:tblHeader w:val="true"/>
        </w:trPr>
        <w:tc>
          <w:tcPr>
            <w:tcW w:type="dxa" w:w="936"/>
            <w:vAlign w:val="center"/>
            <w:tcMar>
              <w:top w:w="80" w:type="dxa"/>
              <w:start w:w="90" w:type="dxa"/>
              <w:bottom w:w="80" w:type="dxa"/>
              <w:end w:w="90" w:type="dxa"/>
            </w:tcMar>
            <w:shd w:fill="2E6B3A"/>
          </w:tcPr>
          <w:p>
            <w:pPr>
              <w:spacing w:after="40" w:before="20"/>
            </w:pPr>
            <w:r>
              <w:rPr>
                <w:rFonts w:ascii="Aptos" w:hAnsi="Aptos"/>
                <w:b/>
                <w:color w:val="FFFFFF"/>
                <w:sz w:val="15"/>
              </w:rPr>
              <w:t>State(s)</w:t>
            </w:r>
          </w:p>
        </w:tc>
        <w:tc>
          <w:tcPr>
            <w:tcW w:type="dxa" w:w="3671"/>
            <w:vAlign w:val="center"/>
            <w:tcMar>
              <w:top w:w="80" w:type="dxa"/>
              <w:start w:w="90" w:type="dxa"/>
              <w:bottom w:w="80" w:type="dxa"/>
              <w:end w:w="90" w:type="dxa"/>
            </w:tcMar>
            <w:shd w:fill="2E6B3A"/>
          </w:tcPr>
          <w:p>
            <w:pPr>
              <w:spacing w:after="40" w:before="20"/>
            </w:pPr>
            <w:r>
              <w:rPr>
                <w:rFonts w:ascii="Aptos" w:hAnsi="Aptos"/>
                <w:b/>
                <w:color w:val="FFFFFF"/>
                <w:sz w:val="15"/>
              </w:rPr>
              <w:t>Institution</w:t>
            </w:r>
          </w:p>
        </w:tc>
        <w:tc>
          <w:tcPr>
            <w:tcW w:type="dxa" w:w="2376"/>
            <w:vAlign w:val="center"/>
            <w:tcMar>
              <w:top w:w="80" w:type="dxa"/>
              <w:start w:w="90" w:type="dxa"/>
              <w:bottom w:w="80" w:type="dxa"/>
              <w:end w:w="90" w:type="dxa"/>
            </w:tcMar>
            <w:shd w:fill="2E6B3A"/>
          </w:tcPr>
          <w:p>
            <w:r>
              <w:rPr>
                <w:sz w:val="15"/>
              </w:rPr>
              <w:t>Official website</w:t>
            </w:r>
          </w:p>
        </w:tc>
        <w:tc>
          <w:tcPr>
            <w:tcW w:type="dxa" w:w="3096"/>
            <w:vAlign w:val="center"/>
            <w:tcMar>
              <w:top w:w="80" w:type="dxa"/>
              <w:start w:w="90" w:type="dxa"/>
              <w:bottom w:w="80" w:type="dxa"/>
              <w:end w:w="90" w:type="dxa"/>
            </w:tcMar>
            <w:shd w:fill="2E6B3A"/>
          </w:tcPr>
          <w:p>
            <w:r>
              <w:rPr>
                <w:sz w:val="15"/>
              </w:rPr>
              <w:t>Best first contact</w:t>
            </w:r>
          </w:p>
        </w:tc>
      </w:tr>
      <w:tr>
        <w:tc>
          <w:tcPr>
            <w:tcW w:type="dxa" w:w="936"/>
            <w:vAlign w:val="center"/>
            <w:tcMar>
              <w:top w:w="80" w:type="dxa"/>
              <w:start w:w="90" w:type="dxa"/>
              <w:bottom w:w="80" w:type="dxa"/>
              <w:end w:w="90" w:type="dxa"/>
            </w:tcMar>
          </w:tcPr>
          <w:p>
            <w:pPr>
              <w:spacing w:after="40" w:before="20"/>
            </w:pPr>
            <w:r>
              <w:rPr>
                <w:rFonts w:ascii="Aptos" w:hAnsi="Aptos"/>
                <w:sz w:val="15"/>
              </w:rPr>
              <w:t>AZ</w:t>
            </w:r>
          </w:p>
        </w:tc>
        <w:tc>
          <w:tcPr>
            <w:tcW w:type="dxa" w:w="3671"/>
            <w:vAlign w:val="center"/>
            <w:tcMar>
              <w:top w:w="80" w:type="dxa"/>
              <w:start w:w="90" w:type="dxa"/>
              <w:bottom w:w="80" w:type="dxa"/>
              <w:end w:w="90" w:type="dxa"/>
            </w:tcMar>
          </w:tcPr>
          <w:p>
            <w:pPr>
              <w:spacing w:after="40" w:before="20"/>
            </w:pPr>
            <w:r>
              <w:rPr>
                <w:rFonts w:ascii="Aptos" w:hAnsi="Aptos"/>
                <w:sz w:val="15"/>
              </w:rPr>
              <w:t>Arizona School of Acupuncture and Oriental Medicine</w:t>
            </w:r>
          </w:p>
        </w:tc>
        <w:tc>
          <w:tcPr>
            <w:tcW w:type="dxa" w:w="2376"/>
            <w:vAlign w:val="center"/>
            <w:tcMar>
              <w:top w:w="80" w:type="dxa"/>
              <w:start w:w="90" w:type="dxa"/>
              <w:bottom w:w="80" w:type="dxa"/>
              <w:end w:w="90" w:type="dxa"/>
            </w:tcMar>
          </w:tcPr>
          <w:p>
            <w:pPr>
              <w:spacing w:after="0"/>
            </w:pPr>
            <w:r>
              <w:rPr>
                <w:sz w:val="15"/>
              </w:rPr>
            </w:r>
            <w:hyperlink r:id="rId22">
              <w:r>
                <w:rPr>
                  <w:color w:val="1F5EA8"/>
                  <w:u w:val="single"/>
                </w:rPr>
                <w:t>asaom.edu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AZ/CA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Yo San University of Traditional Chinese Medicine</w:t>
            </w:r>
          </w:p>
        </w:tc>
        <w:tc>
          <w:tcPr>
            <w:tcW w:type="dxa" w:w="2376"/>
            <w:vAlign w:val="center"/>
            <w:tcMar>
              <w:top w:w="80" w:type="dxa"/>
              <w:start w:w="90" w:type="dxa"/>
              <w:bottom w:w="80" w:type="dxa"/>
              <w:end w:w="90" w:type="dxa"/>
            </w:tcMar>
            <w:shd w:fill="F6F8F6"/>
          </w:tcPr>
          <w:p>
            <w:pPr>
              <w:spacing w:after="0"/>
            </w:pPr>
            <w:r>
              <w:rPr>
                <w:sz w:val="15"/>
              </w:rPr>
            </w:r>
            <w:hyperlink r:id="rId23">
              <w:r>
                <w:rPr>
                  <w:color w:val="1F5EA8"/>
                  <w:u w:val="single"/>
                </w:rPr>
                <w:t>yosan.edu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CA</w:t>
            </w:r>
          </w:p>
        </w:tc>
        <w:tc>
          <w:tcPr>
            <w:tcW w:type="dxa" w:w="3671"/>
            <w:vAlign w:val="center"/>
            <w:tcMar>
              <w:top w:w="80" w:type="dxa"/>
              <w:start w:w="90" w:type="dxa"/>
              <w:bottom w:w="80" w:type="dxa"/>
              <w:end w:w="90" w:type="dxa"/>
            </w:tcMar>
          </w:tcPr>
          <w:p>
            <w:pPr>
              <w:spacing w:after="40" w:before="20"/>
            </w:pPr>
            <w:r>
              <w:rPr>
                <w:rFonts w:ascii="Aptos" w:hAnsi="Aptos"/>
                <w:sz w:val="15"/>
              </w:rPr>
              <w:t>Academy of Chinese Culture and Health Sciences</w:t>
            </w:r>
          </w:p>
        </w:tc>
        <w:tc>
          <w:tcPr>
            <w:tcW w:type="dxa" w:w="2376"/>
            <w:vAlign w:val="center"/>
            <w:tcMar>
              <w:top w:w="80" w:type="dxa"/>
              <w:start w:w="90" w:type="dxa"/>
              <w:bottom w:w="80" w:type="dxa"/>
              <w:end w:w="90" w:type="dxa"/>
            </w:tcMar>
          </w:tcPr>
          <w:p>
            <w:pPr>
              <w:spacing w:after="0"/>
            </w:pPr>
            <w:r>
              <w:rPr>
                <w:sz w:val="15"/>
              </w:rPr>
            </w:r>
            <w:hyperlink r:id="rId24">
              <w:r>
                <w:rPr>
                  <w:color w:val="1F5EA8"/>
                  <w:u w:val="single"/>
                </w:rPr>
                <w:t>acchs.edu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Alhambra Medical University</w:t>
            </w:r>
          </w:p>
        </w:tc>
        <w:tc>
          <w:tcPr>
            <w:tcW w:type="dxa" w:w="2376"/>
            <w:vAlign w:val="center"/>
            <w:tcMar>
              <w:top w:w="80" w:type="dxa"/>
              <w:start w:w="90" w:type="dxa"/>
              <w:bottom w:w="80" w:type="dxa"/>
              <w:end w:w="90" w:type="dxa"/>
            </w:tcMar>
            <w:shd w:fill="F6F8F6"/>
          </w:tcPr>
          <w:p>
            <w:pPr>
              <w:spacing w:after="0"/>
            </w:pPr>
            <w:r>
              <w:rPr>
                <w:sz w:val="15"/>
              </w:rPr>
            </w:r>
            <w:hyperlink r:id="rId25">
              <w:r>
                <w:rPr>
                  <w:color w:val="1F5EA8"/>
                  <w:u w:val="single"/>
                </w:rPr>
                <w:t>www.amu.edu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CA</w:t>
            </w:r>
          </w:p>
        </w:tc>
        <w:tc>
          <w:tcPr>
            <w:tcW w:type="dxa" w:w="3671"/>
            <w:vAlign w:val="center"/>
            <w:tcMar>
              <w:top w:w="80" w:type="dxa"/>
              <w:start w:w="90" w:type="dxa"/>
              <w:bottom w:w="80" w:type="dxa"/>
              <w:end w:w="90" w:type="dxa"/>
            </w:tcMar>
          </w:tcPr>
          <w:p>
            <w:pPr>
              <w:spacing w:after="40" w:before="20"/>
            </w:pPr>
            <w:r>
              <w:rPr>
                <w:rFonts w:ascii="Aptos" w:hAnsi="Aptos"/>
                <w:sz w:val="15"/>
              </w:rPr>
              <w:t>California University - Silicon Valley</w:t>
            </w:r>
          </w:p>
        </w:tc>
        <w:tc>
          <w:tcPr>
            <w:tcW w:type="dxa" w:w="2376"/>
            <w:vAlign w:val="center"/>
            <w:tcMar>
              <w:top w:w="80" w:type="dxa"/>
              <w:start w:w="90" w:type="dxa"/>
              <w:bottom w:w="80" w:type="dxa"/>
              <w:end w:w="90" w:type="dxa"/>
            </w:tcMar>
          </w:tcPr>
          <w:p>
            <w:pPr>
              <w:spacing w:after="0"/>
            </w:pPr>
            <w:r>
              <w:rPr>
                <w:sz w:val="15"/>
              </w:rPr>
            </w:r>
            <w:hyperlink r:id="rId26">
              <w:r>
                <w:rPr>
                  <w:color w:val="1F5EA8"/>
                  <w:u w:val="single"/>
                </w:rPr>
                <w:t>cusv.edu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Dongguk University Los Angeles</w:t>
            </w:r>
          </w:p>
        </w:tc>
        <w:tc>
          <w:tcPr>
            <w:tcW w:type="dxa" w:w="2376"/>
            <w:vAlign w:val="center"/>
            <w:tcMar>
              <w:top w:w="80" w:type="dxa"/>
              <w:start w:w="90" w:type="dxa"/>
              <w:bottom w:w="80" w:type="dxa"/>
              <w:end w:w="90" w:type="dxa"/>
            </w:tcMar>
            <w:shd w:fill="F6F8F6"/>
          </w:tcPr>
          <w:p>
            <w:pPr>
              <w:spacing w:after="0"/>
            </w:pPr>
            <w:r>
              <w:rPr>
                <w:sz w:val="15"/>
              </w:rPr>
            </w:r>
            <w:hyperlink r:id="rId27">
              <w:r>
                <w:rPr>
                  <w:color w:val="1F5EA8"/>
                  <w:u w:val="single"/>
                </w:rPr>
                <w:t>dula.edu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CA</w:t>
            </w:r>
          </w:p>
        </w:tc>
        <w:tc>
          <w:tcPr>
            <w:tcW w:type="dxa" w:w="3671"/>
            <w:vAlign w:val="center"/>
            <w:tcMar>
              <w:top w:w="80" w:type="dxa"/>
              <w:start w:w="90" w:type="dxa"/>
              <w:bottom w:w="80" w:type="dxa"/>
              <w:end w:w="90" w:type="dxa"/>
            </w:tcMar>
          </w:tcPr>
          <w:p>
            <w:pPr>
              <w:spacing w:after="40" w:before="20"/>
            </w:pPr>
            <w:r>
              <w:rPr>
                <w:rFonts w:ascii="Aptos" w:hAnsi="Aptos"/>
                <w:sz w:val="15"/>
              </w:rPr>
              <w:t>Five Branches University</w:t>
            </w:r>
          </w:p>
        </w:tc>
        <w:tc>
          <w:tcPr>
            <w:tcW w:type="dxa" w:w="2376"/>
            <w:vAlign w:val="center"/>
            <w:tcMar>
              <w:top w:w="80" w:type="dxa"/>
              <w:start w:w="90" w:type="dxa"/>
              <w:bottom w:w="80" w:type="dxa"/>
              <w:end w:w="90" w:type="dxa"/>
            </w:tcMar>
          </w:tcPr>
          <w:p>
            <w:pPr>
              <w:spacing w:after="0"/>
            </w:pPr>
            <w:r>
              <w:rPr>
                <w:sz w:val="15"/>
              </w:rPr>
            </w:r>
            <w:hyperlink r:id="rId28">
              <w:r>
                <w:rPr>
                  <w:color w:val="1F5EA8"/>
                  <w:u w:val="single"/>
                </w:rPr>
                <w:t>www.fivebranches.edu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South Baylo University</w:t>
            </w:r>
          </w:p>
        </w:tc>
        <w:tc>
          <w:tcPr>
            <w:tcW w:type="dxa" w:w="2376"/>
            <w:vAlign w:val="center"/>
            <w:tcMar>
              <w:top w:w="80" w:type="dxa"/>
              <w:start w:w="90" w:type="dxa"/>
              <w:bottom w:w="80" w:type="dxa"/>
              <w:end w:w="90" w:type="dxa"/>
            </w:tcMar>
            <w:shd w:fill="F6F8F6"/>
          </w:tcPr>
          <w:p>
            <w:pPr>
              <w:spacing w:after="0"/>
            </w:pPr>
            <w:r>
              <w:rPr>
                <w:sz w:val="15"/>
              </w:rPr>
            </w:r>
            <w:hyperlink r:id="rId29">
              <w:r>
                <w:rPr>
                  <w:color w:val="1F5EA8"/>
                  <w:u w:val="single"/>
                </w:rPr>
                <w:t>www.southbaylo.edu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CA</w:t>
            </w:r>
          </w:p>
        </w:tc>
        <w:tc>
          <w:tcPr>
            <w:tcW w:type="dxa" w:w="3671"/>
            <w:vAlign w:val="center"/>
            <w:tcMar>
              <w:top w:w="80" w:type="dxa"/>
              <w:start w:w="90" w:type="dxa"/>
              <w:bottom w:w="80" w:type="dxa"/>
              <w:end w:w="90" w:type="dxa"/>
            </w:tcMar>
          </w:tcPr>
          <w:p>
            <w:pPr>
              <w:spacing w:after="40" w:before="20"/>
            </w:pPr>
            <w:r>
              <w:rPr>
                <w:rFonts w:ascii="Aptos" w:hAnsi="Aptos"/>
                <w:sz w:val="15"/>
              </w:rPr>
              <w:t>Southern California University of Health Sciences</w:t>
            </w:r>
          </w:p>
        </w:tc>
        <w:tc>
          <w:tcPr>
            <w:tcW w:type="dxa" w:w="2376"/>
            <w:vAlign w:val="center"/>
            <w:tcMar>
              <w:top w:w="80" w:type="dxa"/>
              <w:start w:w="90" w:type="dxa"/>
              <w:bottom w:w="80" w:type="dxa"/>
              <w:end w:w="90" w:type="dxa"/>
            </w:tcMar>
          </w:tcPr>
          <w:p>
            <w:pPr>
              <w:spacing w:after="0"/>
            </w:pPr>
            <w:r>
              <w:rPr>
                <w:sz w:val="15"/>
              </w:rPr>
            </w:r>
            <w:hyperlink r:id="rId30">
              <w:r>
                <w:rPr>
                  <w:color w:val="1F5EA8"/>
                  <w:u w:val="single"/>
                </w:rPr>
                <w:t>www.scuhs.edu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University of East-West Medicine</w:t>
            </w:r>
          </w:p>
        </w:tc>
        <w:tc>
          <w:tcPr>
            <w:tcW w:type="dxa" w:w="2376"/>
            <w:vAlign w:val="center"/>
            <w:tcMar>
              <w:top w:w="80" w:type="dxa"/>
              <w:start w:w="90" w:type="dxa"/>
              <w:bottom w:w="80" w:type="dxa"/>
              <w:end w:w="90" w:type="dxa"/>
            </w:tcMar>
            <w:shd w:fill="F6F8F6"/>
          </w:tcPr>
          <w:p>
            <w:pPr>
              <w:spacing w:after="0"/>
            </w:pPr>
            <w:r>
              <w:rPr>
                <w:sz w:val="15"/>
              </w:rPr>
            </w:r>
            <w:hyperlink r:id="rId31">
              <w:r>
                <w:rPr>
                  <w:color w:val="1F5EA8"/>
                  <w:u w:val="single"/>
                </w:rPr>
                <w:t>uewm.edu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CA/IL/NY</w:t>
            </w:r>
          </w:p>
        </w:tc>
        <w:tc>
          <w:tcPr>
            <w:tcW w:type="dxa" w:w="3671"/>
            <w:vAlign w:val="center"/>
            <w:tcMar>
              <w:top w:w="80" w:type="dxa"/>
              <w:start w:w="90" w:type="dxa"/>
              <w:bottom w:w="80" w:type="dxa"/>
              <w:end w:w="90" w:type="dxa"/>
            </w:tcMar>
          </w:tcPr>
          <w:p>
            <w:pPr>
              <w:spacing w:after="40" w:before="20"/>
            </w:pPr>
            <w:r>
              <w:rPr>
                <w:rFonts w:ascii="Aptos" w:hAnsi="Aptos"/>
                <w:sz w:val="15"/>
              </w:rPr>
              <w:t>Pacific College of Health and Science</w:t>
            </w:r>
          </w:p>
        </w:tc>
        <w:tc>
          <w:tcPr>
            <w:tcW w:type="dxa" w:w="2376"/>
            <w:vAlign w:val="center"/>
            <w:tcMar>
              <w:top w:w="80" w:type="dxa"/>
              <w:start w:w="90" w:type="dxa"/>
              <w:bottom w:w="80" w:type="dxa"/>
              <w:end w:w="90" w:type="dxa"/>
            </w:tcMar>
          </w:tcPr>
          <w:p>
            <w:pPr>
              <w:spacing w:after="0"/>
            </w:pPr>
            <w:r>
              <w:rPr>
                <w:sz w:val="15"/>
              </w:rPr>
            </w:r>
            <w:hyperlink r:id="rId32">
              <w:r>
                <w:rPr>
                  <w:color w:val="1F5EA8"/>
                  <w:u w:val="single"/>
                </w:rPr>
                <w:t>www.pacificcollege.edu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CA/TX</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Acupuncture &amp; Integrative Medicine College, Berkeley</w:t>
            </w:r>
          </w:p>
        </w:tc>
        <w:tc>
          <w:tcPr>
            <w:tcW w:type="dxa" w:w="2376"/>
            <w:vAlign w:val="center"/>
            <w:tcMar>
              <w:top w:w="80" w:type="dxa"/>
              <w:start w:w="90" w:type="dxa"/>
              <w:bottom w:w="80" w:type="dxa"/>
              <w:end w:w="90" w:type="dxa"/>
            </w:tcMar>
            <w:shd w:fill="F6F8F6"/>
          </w:tcPr>
          <w:p>
            <w:pPr>
              <w:spacing w:after="0"/>
            </w:pPr>
            <w:r>
              <w:rPr>
                <w:sz w:val="15"/>
              </w:rPr>
            </w:r>
            <w:hyperlink r:id="rId33">
              <w:r>
                <w:rPr>
                  <w:color w:val="1F5EA8"/>
                  <w:u w:val="single"/>
                </w:rPr>
                <w:t>www.aimc.edu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CO</w:t>
            </w:r>
          </w:p>
        </w:tc>
        <w:tc>
          <w:tcPr>
            <w:tcW w:type="dxa" w:w="3671"/>
            <w:vAlign w:val="center"/>
            <w:tcMar>
              <w:top w:w="80" w:type="dxa"/>
              <w:start w:w="90" w:type="dxa"/>
              <w:bottom w:w="80" w:type="dxa"/>
              <w:end w:w="90" w:type="dxa"/>
            </w:tcMar>
          </w:tcPr>
          <w:p>
            <w:pPr>
              <w:spacing w:after="40" w:before="20"/>
            </w:pPr>
            <w:r>
              <w:rPr>
                <w:rFonts w:ascii="Aptos" w:hAnsi="Aptos"/>
                <w:sz w:val="15"/>
              </w:rPr>
              <w:t>Colorado Chinese Medicine University</w:t>
            </w:r>
          </w:p>
        </w:tc>
        <w:tc>
          <w:tcPr>
            <w:tcW w:type="dxa" w:w="2376"/>
            <w:vAlign w:val="center"/>
            <w:tcMar>
              <w:top w:w="80" w:type="dxa"/>
              <w:start w:w="90" w:type="dxa"/>
              <w:bottom w:w="80" w:type="dxa"/>
              <w:end w:w="90" w:type="dxa"/>
            </w:tcMar>
          </w:tcPr>
          <w:p>
            <w:pPr>
              <w:spacing w:after="0"/>
            </w:pPr>
            <w:r>
              <w:rPr>
                <w:sz w:val="15"/>
              </w:rPr>
            </w:r>
            <w:hyperlink r:id="rId34">
              <w:r>
                <w:rPr>
                  <w:color w:val="1F5EA8"/>
                  <w:u w:val="single"/>
                </w:rPr>
                <w:t>ccmu.edu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CO</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Institute of Taoist Education and Acupuncture</w:t>
            </w:r>
          </w:p>
        </w:tc>
        <w:tc>
          <w:tcPr>
            <w:tcW w:type="dxa" w:w="2376"/>
            <w:vAlign w:val="center"/>
            <w:tcMar>
              <w:top w:w="80" w:type="dxa"/>
              <w:start w:w="90" w:type="dxa"/>
              <w:bottom w:w="80" w:type="dxa"/>
              <w:end w:w="90" w:type="dxa"/>
            </w:tcMar>
            <w:shd w:fill="F6F8F6"/>
          </w:tcPr>
          <w:p>
            <w:pPr>
              <w:spacing w:after="0"/>
            </w:pPr>
            <w:r>
              <w:rPr>
                <w:sz w:val="15"/>
              </w:rPr>
            </w:r>
            <w:hyperlink r:id="rId35">
              <w:r>
                <w:rPr>
                  <w:color w:val="1F5EA8"/>
                  <w:u w:val="single"/>
                </w:rPr>
                <w:t>www.itea.edu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CT</w:t>
            </w:r>
          </w:p>
        </w:tc>
        <w:tc>
          <w:tcPr>
            <w:tcW w:type="dxa" w:w="3671"/>
            <w:vAlign w:val="center"/>
            <w:tcMar>
              <w:top w:w="80" w:type="dxa"/>
              <w:start w:w="90" w:type="dxa"/>
              <w:bottom w:w="80" w:type="dxa"/>
              <w:end w:w="90" w:type="dxa"/>
            </w:tcMar>
          </w:tcPr>
          <w:p>
            <w:pPr>
              <w:spacing w:after="40" w:before="20"/>
            </w:pPr>
            <w:r>
              <w:rPr>
                <w:rFonts w:ascii="Aptos" w:hAnsi="Aptos"/>
                <w:sz w:val="15"/>
              </w:rPr>
              <w:t>University of Bridgeport</w:t>
            </w:r>
          </w:p>
        </w:tc>
        <w:tc>
          <w:tcPr>
            <w:tcW w:type="dxa" w:w="2376"/>
            <w:vAlign w:val="center"/>
            <w:tcMar>
              <w:top w:w="80" w:type="dxa"/>
              <w:start w:w="90" w:type="dxa"/>
              <w:bottom w:w="80" w:type="dxa"/>
              <w:end w:w="90" w:type="dxa"/>
            </w:tcMar>
          </w:tcPr>
          <w:p>
            <w:pPr>
              <w:spacing w:after="0"/>
            </w:pPr>
            <w:r>
              <w:rPr>
                <w:sz w:val="15"/>
              </w:rPr>
            </w:r>
            <w:hyperlink r:id="rId36">
              <w:r>
                <w:rPr>
                  <w:color w:val="1F5EA8"/>
                  <w:u w:val="single"/>
                </w:rPr>
                <w:t>www.bridgeport.edu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FL</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Academy for Five Element Acupuncture</w:t>
            </w:r>
          </w:p>
        </w:tc>
        <w:tc>
          <w:tcPr>
            <w:tcW w:type="dxa" w:w="2376"/>
            <w:vAlign w:val="center"/>
            <w:tcMar>
              <w:top w:w="80" w:type="dxa"/>
              <w:start w:w="90" w:type="dxa"/>
              <w:bottom w:w="80" w:type="dxa"/>
              <w:end w:w="90" w:type="dxa"/>
            </w:tcMar>
            <w:shd w:fill="F6F8F6"/>
          </w:tcPr>
          <w:p>
            <w:pPr>
              <w:spacing w:after="0"/>
            </w:pPr>
            <w:r>
              <w:rPr>
                <w:sz w:val="15"/>
              </w:rPr>
            </w:r>
            <w:hyperlink r:id="rId37">
              <w:r>
                <w:rPr>
                  <w:color w:val="1F5EA8"/>
                  <w:u w:val="single"/>
                </w:rPr>
                <w:t>acupuncturist.edu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FL</w:t>
            </w:r>
          </w:p>
        </w:tc>
        <w:tc>
          <w:tcPr>
            <w:tcW w:type="dxa" w:w="3671"/>
            <w:vAlign w:val="center"/>
            <w:tcMar>
              <w:top w:w="80" w:type="dxa"/>
              <w:start w:w="90" w:type="dxa"/>
              <w:bottom w:w="80" w:type="dxa"/>
              <w:end w:w="90" w:type="dxa"/>
            </w:tcMar>
          </w:tcPr>
          <w:p>
            <w:pPr>
              <w:spacing w:after="40" w:before="20"/>
            </w:pPr>
            <w:r>
              <w:rPr>
                <w:rFonts w:ascii="Aptos" w:hAnsi="Aptos"/>
                <w:sz w:val="15"/>
              </w:rPr>
              <w:t>Atlantic Institute of Oriental Medicine</w:t>
            </w:r>
          </w:p>
        </w:tc>
        <w:tc>
          <w:tcPr>
            <w:tcW w:type="dxa" w:w="2376"/>
            <w:vAlign w:val="center"/>
            <w:tcMar>
              <w:top w:w="80" w:type="dxa"/>
              <w:start w:w="90" w:type="dxa"/>
              <w:bottom w:w="80" w:type="dxa"/>
              <w:end w:w="90" w:type="dxa"/>
            </w:tcMar>
          </w:tcPr>
          <w:p>
            <w:pPr>
              <w:spacing w:after="0"/>
            </w:pPr>
            <w:r>
              <w:rPr>
                <w:sz w:val="15"/>
              </w:rPr>
            </w:r>
            <w:hyperlink r:id="rId38">
              <w:r>
                <w:rPr>
                  <w:color w:val="1F5EA8"/>
                  <w:u w:val="single"/>
                </w:rPr>
                <w:t>atom.edu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FL</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Dragon Rises College of Oriental Medicine</w:t>
            </w:r>
          </w:p>
        </w:tc>
        <w:tc>
          <w:tcPr>
            <w:tcW w:type="dxa" w:w="2376"/>
            <w:vAlign w:val="center"/>
            <w:tcMar>
              <w:top w:w="80" w:type="dxa"/>
              <w:start w:w="90" w:type="dxa"/>
              <w:bottom w:w="80" w:type="dxa"/>
              <w:end w:w="90" w:type="dxa"/>
            </w:tcMar>
            <w:shd w:fill="F6F8F6"/>
          </w:tcPr>
          <w:p>
            <w:pPr>
              <w:spacing w:after="0"/>
            </w:pPr>
            <w:r>
              <w:rPr>
                <w:sz w:val="15"/>
              </w:rPr>
            </w:r>
            <w:hyperlink r:id="rId39">
              <w:r>
                <w:rPr>
                  <w:color w:val="1F5EA8"/>
                  <w:u w:val="single"/>
                </w:rPr>
                <w:t>dragonrises.edu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FL</w:t>
            </w:r>
          </w:p>
        </w:tc>
        <w:tc>
          <w:tcPr>
            <w:tcW w:type="dxa" w:w="3671"/>
            <w:vAlign w:val="center"/>
            <w:tcMar>
              <w:top w:w="80" w:type="dxa"/>
              <w:start w:w="90" w:type="dxa"/>
              <w:bottom w:w="80" w:type="dxa"/>
              <w:end w:w="90" w:type="dxa"/>
            </w:tcMar>
          </w:tcPr>
          <w:p>
            <w:pPr>
              <w:spacing w:after="40" w:before="20"/>
            </w:pPr>
            <w:r>
              <w:rPr>
                <w:rFonts w:ascii="Aptos" w:hAnsi="Aptos"/>
                <w:sz w:val="15"/>
              </w:rPr>
              <w:t>Florida College of Integrative Medicine</w:t>
            </w:r>
          </w:p>
        </w:tc>
        <w:tc>
          <w:tcPr>
            <w:tcW w:type="dxa" w:w="2376"/>
            <w:vAlign w:val="center"/>
            <w:tcMar>
              <w:top w:w="80" w:type="dxa"/>
              <w:start w:w="90" w:type="dxa"/>
              <w:bottom w:w="80" w:type="dxa"/>
              <w:end w:w="90" w:type="dxa"/>
            </w:tcMar>
          </w:tcPr>
          <w:p>
            <w:pPr>
              <w:spacing w:after="0"/>
            </w:pPr>
            <w:r>
              <w:rPr>
                <w:sz w:val="15"/>
              </w:rPr>
            </w:r>
            <w:hyperlink r:id="rId40">
              <w:r>
                <w:rPr>
                  <w:color w:val="1F5EA8"/>
                  <w:u w:val="single"/>
                </w:rPr>
                <w:t>www.fcim.edu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GA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Hanbit University</w:t>
            </w:r>
          </w:p>
        </w:tc>
        <w:tc>
          <w:tcPr>
            <w:tcW w:type="dxa" w:w="2376"/>
            <w:vAlign w:val="center"/>
            <w:tcMar>
              <w:top w:w="80" w:type="dxa"/>
              <w:start w:w="90" w:type="dxa"/>
              <w:bottom w:w="80" w:type="dxa"/>
              <w:end w:w="90" w:type="dxa"/>
            </w:tcMar>
            <w:shd w:fill="F6F8F6"/>
          </w:tcPr>
          <w:p>
            <w:pPr>
              <w:spacing w:after="0"/>
            </w:pPr>
            <w:r>
              <w:rPr>
                <w:sz w:val="15"/>
              </w:rPr>
            </w:r>
            <w:hyperlink r:id="rId41">
              <w:r>
                <w:rPr>
                  <w:color w:val="1F5EA8"/>
                  <w:u w:val="single"/>
                </w:rPr>
                <w:t>www.hanbit.edu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GA/NJ/VA</w:t>
            </w:r>
          </w:p>
        </w:tc>
        <w:tc>
          <w:tcPr>
            <w:tcW w:type="dxa" w:w="3671"/>
            <w:vAlign w:val="center"/>
            <w:tcMar>
              <w:top w:w="80" w:type="dxa"/>
              <w:start w:w="90" w:type="dxa"/>
              <w:bottom w:w="80" w:type="dxa"/>
              <w:end w:w="90" w:type="dxa"/>
            </w:tcMar>
          </w:tcPr>
          <w:p>
            <w:pPr>
              <w:spacing w:after="40" w:before="20"/>
            </w:pPr>
            <w:r>
              <w:rPr>
                <w:rFonts w:ascii="Aptos" w:hAnsi="Aptos"/>
                <w:sz w:val="15"/>
              </w:rPr>
              <w:t>Virginia University of Integrative Medicine</w:t>
            </w:r>
          </w:p>
        </w:tc>
        <w:tc>
          <w:tcPr>
            <w:tcW w:type="dxa" w:w="2376"/>
            <w:vAlign w:val="center"/>
            <w:tcMar>
              <w:top w:w="80" w:type="dxa"/>
              <w:start w:w="90" w:type="dxa"/>
              <w:bottom w:w="80" w:type="dxa"/>
              <w:end w:w="90" w:type="dxa"/>
            </w:tcMar>
          </w:tcPr>
          <w:p>
            <w:pPr>
              <w:spacing w:after="0"/>
            </w:pPr>
            <w:r>
              <w:rPr>
                <w:sz w:val="15"/>
              </w:rPr>
            </w:r>
            <w:hyperlink r:id="rId42">
              <w:r>
                <w:rPr>
                  <w:color w:val="1F5EA8"/>
                  <w:u w:val="single"/>
                </w:rPr>
                <w:t>www.vuim.edu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HI</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Institute of Clinical Acupuncture and Oriental Medicine</w:t>
            </w:r>
          </w:p>
        </w:tc>
        <w:tc>
          <w:tcPr>
            <w:tcW w:type="dxa" w:w="2376"/>
            <w:vAlign w:val="center"/>
            <w:tcMar>
              <w:top w:w="80" w:type="dxa"/>
              <w:start w:w="90" w:type="dxa"/>
              <w:bottom w:w="80" w:type="dxa"/>
              <w:end w:w="90" w:type="dxa"/>
            </w:tcMar>
            <w:shd w:fill="F6F8F6"/>
          </w:tcPr>
          <w:p>
            <w:pPr>
              <w:spacing w:after="0"/>
            </w:pPr>
            <w:r>
              <w:rPr>
                <w:sz w:val="15"/>
              </w:rPr>
            </w:r>
            <w:hyperlink r:id="rId43">
              <w:r>
                <w:rPr>
                  <w:color w:val="1F5EA8"/>
                  <w:u w:val="single"/>
                </w:rPr>
                <w:t>www.orientalmedicine.edu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IL</w:t>
            </w:r>
          </w:p>
        </w:tc>
        <w:tc>
          <w:tcPr>
            <w:tcW w:type="dxa" w:w="3671"/>
            <w:vAlign w:val="center"/>
            <w:tcMar>
              <w:top w:w="80" w:type="dxa"/>
              <w:start w:w="90" w:type="dxa"/>
              <w:bottom w:w="80" w:type="dxa"/>
              <w:end w:w="90" w:type="dxa"/>
            </w:tcMar>
          </w:tcPr>
          <w:p>
            <w:pPr>
              <w:spacing w:after="40" w:before="20"/>
            </w:pPr>
            <w:r>
              <w:rPr>
                <w:rFonts w:ascii="Aptos" w:hAnsi="Aptos"/>
                <w:sz w:val="15"/>
              </w:rPr>
              <w:t>Chicago College of Oriental Medicine</w:t>
            </w:r>
          </w:p>
        </w:tc>
        <w:tc>
          <w:tcPr>
            <w:tcW w:type="dxa" w:w="2376"/>
            <w:vAlign w:val="center"/>
            <w:tcMar>
              <w:top w:w="80" w:type="dxa"/>
              <w:start w:w="90" w:type="dxa"/>
              <w:bottom w:w="80" w:type="dxa"/>
              <w:end w:w="90" w:type="dxa"/>
            </w:tcMar>
          </w:tcPr>
          <w:p>
            <w:pPr>
              <w:spacing w:after="0"/>
            </w:pPr>
            <w:r>
              <w:rPr>
                <w:sz w:val="15"/>
              </w:rPr>
            </w:r>
            <w:hyperlink r:id="rId44">
              <w:r>
                <w:rPr>
                  <w:color w:val="1F5EA8"/>
                  <w:u w:val="single"/>
                </w:rPr>
                <w:t>www.ccom.edu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IL</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National University of Health Sciences</w:t>
            </w:r>
          </w:p>
        </w:tc>
        <w:tc>
          <w:tcPr>
            <w:tcW w:type="dxa" w:w="2376"/>
            <w:vAlign w:val="center"/>
            <w:tcMar>
              <w:top w:w="80" w:type="dxa"/>
              <w:start w:w="90" w:type="dxa"/>
              <w:bottom w:w="80" w:type="dxa"/>
              <w:end w:w="90" w:type="dxa"/>
            </w:tcMar>
            <w:shd w:fill="F6F8F6"/>
          </w:tcPr>
          <w:p>
            <w:pPr>
              <w:spacing w:after="0"/>
            </w:pPr>
            <w:r>
              <w:rPr>
                <w:sz w:val="15"/>
              </w:rPr>
            </w:r>
            <w:hyperlink r:id="rId45">
              <w:r>
                <w:rPr>
                  <w:color w:val="1F5EA8"/>
                  <w:u w:val="single"/>
                </w:rPr>
                <w:t>www.nuhs.edu/academics/acupuncture</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IL/WI</w:t>
            </w:r>
          </w:p>
        </w:tc>
        <w:tc>
          <w:tcPr>
            <w:tcW w:type="dxa" w:w="3671"/>
            <w:vAlign w:val="center"/>
            <w:tcMar>
              <w:top w:w="80" w:type="dxa"/>
              <w:start w:w="90" w:type="dxa"/>
              <w:bottom w:w="80" w:type="dxa"/>
              <w:end w:w="90" w:type="dxa"/>
            </w:tcMar>
          </w:tcPr>
          <w:p>
            <w:pPr>
              <w:spacing w:after="40" w:before="20"/>
            </w:pPr>
            <w:r>
              <w:rPr>
                <w:rFonts w:ascii="Aptos" w:hAnsi="Aptos"/>
                <w:sz w:val="15"/>
              </w:rPr>
              <w:t>Midwest College of Acupuncture and Herbal Medicine</w:t>
            </w:r>
          </w:p>
        </w:tc>
        <w:tc>
          <w:tcPr>
            <w:tcW w:type="dxa" w:w="2376"/>
            <w:vAlign w:val="center"/>
            <w:tcMar>
              <w:top w:w="80" w:type="dxa"/>
              <w:start w:w="90" w:type="dxa"/>
              <w:bottom w:w="80" w:type="dxa"/>
              <w:end w:w="90" w:type="dxa"/>
            </w:tcMar>
          </w:tcPr>
          <w:p>
            <w:pPr>
              <w:spacing w:after="0"/>
            </w:pPr>
            <w:r>
              <w:rPr>
                <w:sz w:val="15"/>
              </w:rPr>
            </w:r>
            <w:hyperlink r:id="rId46">
              <w:r>
                <w:rPr>
                  <w:color w:val="1F5EA8"/>
                  <w:u w:val="single"/>
                </w:rPr>
                <w:t>acupuncture.edu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MA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MCPHS University</w:t>
            </w:r>
          </w:p>
        </w:tc>
        <w:tc>
          <w:tcPr>
            <w:tcW w:type="dxa" w:w="2376"/>
            <w:vAlign w:val="center"/>
            <w:tcMar>
              <w:top w:w="80" w:type="dxa"/>
              <w:start w:w="90" w:type="dxa"/>
              <w:bottom w:w="80" w:type="dxa"/>
              <w:end w:w="90" w:type="dxa"/>
            </w:tcMar>
            <w:shd w:fill="F6F8F6"/>
          </w:tcPr>
          <w:p>
            <w:pPr>
              <w:spacing w:after="0"/>
            </w:pPr>
            <w:r>
              <w:rPr>
                <w:sz w:val="15"/>
              </w:rPr>
            </w:r>
            <w:hyperlink r:id="rId47">
              <w:r>
                <w:rPr>
                  <w:color w:val="1F5EA8"/>
                  <w:u w:val="single"/>
                </w:rPr>
                <w:t>www.mcphs.edu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MN</w:t>
            </w:r>
          </w:p>
        </w:tc>
        <w:tc>
          <w:tcPr>
            <w:tcW w:type="dxa" w:w="3671"/>
            <w:vAlign w:val="center"/>
            <w:tcMar>
              <w:top w:w="80" w:type="dxa"/>
              <w:start w:w="90" w:type="dxa"/>
              <w:bottom w:w="80" w:type="dxa"/>
              <w:end w:w="90" w:type="dxa"/>
            </w:tcMar>
          </w:tcPr>
          <w:p>
            <w:pPr>
              <w:spacing w:after="40" w:before="20"/>
            </w:pPr>
            <w:r>
              <w:rPr>
                <w:rFonts w:ascii="Aptos" w:hAnsi="Aptos"/>
                <w:sz w:val="15"/>
              </w:rPr>
              <w:t>American Academy of Health and Wellness</w:t>
            </w:r>
          </w:p>
        </w:tc>
        <w:tc>
          <w:tcPr>
            <w:tcW w:type="dxa" w:w="2376"/>
            <w:vAlign w:val="center"/>
            <w:tcMar>
              <w:top w:w="80" w:type="dxa"/>
              <w:start w:w="90" w:type="dxa"/>
              <w:bottom w:w="80" w:type="dxa"/>
              <w:end w:w="90" w:type="dxa"/>
            </w:tcMar>
          </w:tcPr>
          <w:p>
            <w:pPr>
              <w:spacing w:after="0"/>
            </w:pPr>
            <w:r>
              <w:rPr>
                <w:sz w:val="15"/>
              </w:rPr>
            </w:r>
            <w:hyperlink r:id="rId48">
              <w:r>
                <w:rPr>
                  <w:color w:val="1F5EA8"/>
                  <w:u w:val="single"/>
                </w:rPr>
                <w:t>acupunctureschoolusa.com</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MN</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Northwestern Health Sciences University</w:t>
            </w:r>
          </w:p>
        </w:tc>
        <w:tc>
          <w:tcPr>
            <w:tcW w:type="dxa" w:w="2376"/>
            <w:vAlign w:val="center"/>
            <w:tcMar>
              <w:top w:w="80" w:type="dxa"/>
              <w:start w:w="90" w:type="dxa"/>
              <w:bottom w:w="80" w:type="dxa"/>
              <w:end w:w="90" w:type="dxa"/>
            </w:tcMar>
            <w:shd w:fill="F6F8F6"/>
          </w:tcPr>
          <w:p>
            <w:pPr>
              <w:spacing w:after="0"/>
            </w:pPr>
            <w:r>
              <w:rPr>
                <w:sz w:val="15"/>
              </w:rPr>
            </w:r>
            <w:hyperlink r:id="rId49">
              <w:r>
                <w:rPr>
                  <w:color w:val="1F5EA8"/>
                  <w:u w:val="single"/>
                </w:rPr>
                <w:t>www.nwhealth.edu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NC</w:t>
            </w:r>
          </w:p>
        </w:tc>
        <w:tc>
          <w:tcPr>
            <w:tcW w:type="dxa" w:w="3671"/>
            <w:vAlign w:val="center"/>
            <w:tcMar>
              <w:top w:w="80" w:type="dxa"/>
              <w:start w:w="90" w:type="dxa"/>
              <w:bottom w:w="80" w:type="dxa"/>
              <w:end w:w="90" w:type="dxa"/>
            </w:tcMar>
          </w:tcPr>
          <w:p>
            <w:pPr>
              <w:spacing w:after="40" w:before="20"/>
            </w:pPr>
            <w:r>
              <w:rPr>
                <w:rFonts w:ascii="Aptos" w:hAnsi="Aptos"/>
                <w:sz w:val="15"/>
              </w:rPr>
              <w:t>Daoist Traditions College of Chinese Medical Arts</w:t>
            </w:r>
          </w:p>
        </w:tc>
        <w:tc>
          <w:tcPr>
            <w:tcW w:type="dxa" w:w="2376"/>
            <w:vAlign w:val="center"/>
            <w:tcMar>
              <w:top w:w="80" w:type="dxa"/>
              <w:start w:w="90" w:type="dxa"/>
              <w:bottom w:w="80" w:type="dxa"/>
              <w:end w:w="90" w:type="dxa"/>
            </w:tcMar>
          </w:tcPr>
          <w:p>
            <w:pPr>
              <w:spacing w:after="0"/>
            </w:pPr>
            <w:r>
              <w:rPr>
                <w:sz w:val="15"/>
              </w:rPr>
            </w:r>
            <w:hyperlink r:id="rId50">
              <w:r>
                <w:rPr>
                  <w:color w:val="1F5EA8"/>
                  <w:u w:val="single"/>
                </w:rPr>
                <w:t>www.daoisttraditions.edu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NC</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Jung Tao School of Classical Chinese Medicine</w:t>
            </w:r>
          </w:p>
        </w:tc>
        <w:tc>
          <w:tcPr>
            <w:tcW w:type="dxa" w:w="2376"/>
            <w:vAlign w:val="center"/>
            <w:tcMar>
              <w:top w:w="80" w:type="dxa"/>
              <w:start w:w="90" w:type="dxa"/>
              <w:bottom w:w="80" w:type="dxa"/>
              <w:end w:w="90" w:type="dxa"/>
            </w:tcMar>
            <w:shd w:fill="F6F8F6"/>
          </w:tcPr>
          <w:p>
            <w:pPr>
              <w:spacing w:after="0"/>
            </w:pPr>
            <w:r>
              <w:rPr>
                <w:sz w:val="15"/>
              </w:rPr>
            </w:r>
            <w:hyperlink r:id="rId51">
              <w:r>
                <w:rPr>
                  <w:color w:val="1F5EA8"/>
                  <w:u w:val="single"/>
                </w:rPr>
                <w:t>jungtao.edu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NJ</w:t>
            </w:r>
          </w:p>
        </w:tc>
        <w:tc>
          <w:tcPr>
            <w:tcW w:type="dxa" w:w="3671"/>
            <w:vAlign w:val="center"/>
            <w:tcMar>
              <w:top w:w="80" w:type="dxa"/>
              <w:start w:w="90" w:type="dxa"/>
              <w:bottom w:w="80" w:type="dxa"/>
              <w:end w:w="90" w:type="dxa"/>
            </w:tcMar>
          </w:tcPr>
          <w:p>
            <w:pPr>
              <w:spacing w:after="40" w:before="20"/>
            </w:pPr>
            <w:r>
              <w:rPr>
                <w:rFonts w:ascii="Aptos" w:hAnsi="Aptos"/>
                <w:sz w:val="15"/>
              </w:rPr>
              <w:t>Eastern School of Acupuncture and Traditional Medicine</w:t>
            </w:r>
          </w:p>
        </w:tc>
        <w:tc>
          <w:tcPr>
            <w:tcW w:type="dxa" w:w="2376"/>
            <w:vAlign w:val="center"/>
            <w:tcMar>
              <w:top w:w="80" w:type="dxa"/>
              <w:start w:w="90" w:type="dxa"/>
              <w:bottom w:w="80" w:type="dxa"/>
              <w:end w:w="90" w:type="dxa"/>
            </w:tcMar>
          </w:tcPr>
          <w:p>
            <w:pPr>
              <w:spacing w:after="0"/>
            </w:pPr>
            <w:r>
              <w:rPr>
                <w:sz w:val="15"/>
              </w:rPr>
            </w:r>
            <w:hyperlink r:id="rId52">
              <w:r>
                <w:rPr>
                  <w:color w:val="1F5EA8"/>
                  <w:u w:val="single"/>
                </w:rPr>
                <w:t>esatm.edu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NV</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Wongu University of Oriental Medicine</w:t>
            </w:r>
          </w:p>
        </w:tc>
        <w:tc>
          <w:tcPr>
            <w:tcW w:type="dxa" w:w="2376"/>
            <w:vAlign w:val="center"/>
            <w:tcMar>
              <w:top w:w="80" w:type="dxa"/>
              <w:start w:w="90" w:type="dxa"/>
              <w:bottom w:w="80" w:type="dxa"/>
              <w:end w:w="90" w:type="dxa"/>
            </w:tcMar>
            <w:shd w:fill="F6F8F6"/>
          </w:tcPr>
          <w:p>
            <w:pPr>
              <w:spacing w:after="0"/>
            </w:pPr>
            <w:r>
              <w:rPr>
                <w:sz w:val="15"/>
              </w:rPr>
            </w:r>
            <w:hyperlink r:id="rId53">
              <w:r>
                <w:rPr>
                  <w:color w:val="1F5EA8"/>
                  <w:u w:val="single"/>
                </w:rPr>
                <w:t>wongu.edu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NY</w:t>
            </w:r>
          </w:p>
        </w:tc>
        <w:tc>
          <w:tcPr>
            <w:tcW w:type="dxa" w:w="3671"/>
            <w:vAlign w:val="center"/>
            <w:tcMar>
              <w:top w:w="80" w:type="dxa"/>
              <w:start w:w="90" w:type="dxa"/>
              <w:bottom w:w="80" w:type="dxa"/>
              <w:end w:w="90" w:type="dxa"/>
            </w:tcMar>
          </w:tcPr>
          <w:p>
            <w:pPr>
              <w:spacing w:after="40" w:before="20"/>
            </w:pPr>
            <w:r>
              <w:rPr>
                <w:rFonts w:ascii="Aptos" w:hAnsi="Aptos"/>
                <w:sz w:val="15"/>
              </w:rPr>
              <w:t>New York College of Health Professions</w:t>
            </w:r>
          </w:p>
        </w:tc>
        <w:tc>
          <w:tcPr>
            <w:tcW w:type="dxa" w:w="2376"/>
            <w:vAlign w:val="center"/>
            <w:tcMar>
              <w:top w:w="80" w:type="dxa"/>
              <w:start w:w="90" w:type="dxa"/>
              <w:bottom w:w="80" w:type="dxa"/>
              <w:end w:w="90" w:type="dxa"/>
            </w:tcMar>
          </w:tcPr>
          <w:p>
            <w:pPr>
              <w:spacing w:after="0"/>
            </w:pPr>
            <w:r>
              <w:rPr>
                <w:sz w:val="15"/>
              </w:rPr>
            </w:r>
            <w:hyperlink r:id="rId54">
              <w:r>
                <w:rPr>
                  <w:color w:val="1F5EA8"/>
                  <w:u w:val="single"/>
                </w:rPr>
                <w:t>www.nycollege.edu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NY</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New York College of Traditional Chinese Medicine</w:t>
            </w:r>
          </w:p>
        </w:tc>
        <w:tc>
          <w:tcPr>
            <w:tcW w:type="dxa" w:w="2376"/>
            <w:vAlign w:val="center"/>
            <w:tcMar>
              <w:top w:w="80" w:type="dxa"/>
              <w:start w:w="90" w:type="dxa"/>
              <w:bottom w:w="80" w:type="dxa"/>
              <w:end w:w="90" w:type="dxa"/>
            </w:tcMar>
            <w:shd w:fill="F6F8F6"/>
          </w:tcPr>
          <w:p>
            <w:pPr>
              <w:spacing w:after="0"/>
            </w:pPr>
            <w:r>
              <w:rPr>
                <w:sz w:val="15"/>
              </w:rPr>
            </w:r>
            <w:hyperlink r:id="rId55">
              <w:r>
                <w:rPr>
                  <w:color w:val="1F5EA8"/>
                  <w:u w:val="single"/>
                </w:rPr>
                <w:t>nyctcm.edu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OH</w:t>
            </w:r>
          </w:p>
        </w:tc>
        <w:tc>
          <w:tcPr>
            <w:tcW w:type="dxa" w:w="3671"/>
            <w:vAlign w:val="center"/>
            <w:tcMar>
              <w:top w:w="80" w:type="dxa"/>
              <w:start w:w="90" w:type="dxa"/>
              <w:bottom w:w="80" w:type="dxa"/>
              <w:end w:w="90" w:type="dxa"/>
            </w:tcMar>
          </w:tcPr>
          <w:p>
            <w:pPr>
              <w:spacing w:after="40" w:before="20"/>
            </w:pPr>
            <w:r>
              <w:rPr>
                <w:rFonts w:ascii="Aptos" w:hAnsi="Aptos"/>
                <w:sz w:val="15"/>
              </w:rPr>
              <w:t>American Institute of Alternative Medicine</w:t>
            </w:r>
          </w:p>
        </w:tc>
        <w:tc>
          <w:tcPr>
            <w:tcW w:type="dxa" w:w="2376"/>
            <w:vAlign w:val="center"/>
            <w:tcMar>
              <w:top w:w="80" w:type="dxa"/>
              <w:start w:w="90" w:type="dxa"/>
              <w:bottom w:w="80" w:type="dxa"/>
              <w:end w:w="90" w:type="dxa"/>
            </w:tcMar>
          </w:tcPr>
          <w:p>
            <w:pPr>
              <w:spacing w:after="0"/>
            </w:pPr>
            <w:r>
              <w:rPr>
                <w:sz w:val="15"/>
              </w:rPr>
            </w:r>
            <w:hyperlink r:id="rId56">
              <w:r>
                <w:rPr>
                  <w:color w:val="1F5EA8"/>
                  <w:u w:val="single"/>
                </w:rPr>
                <w:t>www.aiam.edu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OR</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National University of Natural Medicine</w:t>
            </w:r>
          </w:p>
        </w:tc>
        <w:tc>
          <w:tcPr>
            <w:tcW w:type="dxa" w:w="2376"/>
            <w:vAlign w:val="center"/>
            <w:tcMar>
              <w:top w:w="80" w:type="dxa"/>
              <w:start w:w="90" w:type="dxa"/>
              <w:bottom w:w="80" w:type="dxa"/>
              <w:end w:w="90" w:type="dxa"/>
            </w:tcMar>
            <w:shd w:fill="F6F8F6"/>
          </w:tcPr>
          <w:p>
            <w:pPr>
              <w:spacing w:after="0"/>
            </w:pPr>
            <w:r>
              <w:rPr>
                <w:sz w:val="15"/>
              </w:rPr>
            </w:r>
            <w:hyperlink r:id="rId57">
              <w:r>
                <w:rPr>
                  <w:color w:val="1F5EA8"/>
                  <w:u w:val="single"/>
                </w:rPr>
                <w:t>nunm.edu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OR</w:t>
            </w:r>
          </w:p>
        </w:tc>
        <w:tc>
          <w:tcPr>
            <w:tcW w:type="dxa" w:w="3671"/>
            <w:vAlign w:val="center"/>
            <w:tcMar>
              <w:top w:w="80" w:type="dxa"/>
              <w:start w:w="90" w:type="dxa"/>
              <w:bottom w:w="80" w:type="dxa"/>
              <w:end w:w="90" w:type="dxa"/>
            </w:tcMar>
          </w:tcPr>
          <w:p>
            <w:pPr>
              <w:spacing w:after="40" w:before="20"/>
            </w:pPr>
            <w:r>
              <w:rPr>
                <w:rFonts w:ascii="Aptos" w:hAnsi="Aptos"/>
                <w:sz w:val="15"/>
              </w:rPr>
              <w:t>Oregon College of Community Acupuncture</w:t>
            </w:r>
          </w:p>
        </w:tc>
        <w:tc>
          <w:tcPr>
            <w:tcW w:type="dxa" w:w="2376"/>
            <w:vAlign w:val="center"/>
            <w:tcMar>
              <w:top w:w="80" w:type="dxa"/>
              <w:start w:w="90" w:type="dxa"/>
              <w:bottom w:w="80" w:type="dxa"/>
              <w:end w:w="90" w:type="dxa"/>
            </w:tcMar>
          </w:tcPr>
          <w:p>
            <w:pPr>
              <w:spacing w:after="0"/>
            </w:pPr>
            <w:r>
              <w:rPr>
                <w:sz w:val="15"/>
              </w:rPr>
            </w:r>
            <w:hyperlink r:id="rId58">
              <w:r>
                <w:rPr>
                  <w:color w:val="1F5EA8"/>
                  <w:u w:val="single"/>
                </w:rPr>
                <w:t>www.workingclassacupuncture.org</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PA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Won Institute of Graduate Studies</w:t>
            </w:r>
          </w:p>
        </w:tc>
        <w:tc>
          <w:tcPr>
            <w:tcW w:type="dxa" w:w="2376"/>
            <w:vAlign w:val="center"/>
            <w:tcMar>
              <w:top w:w="80" w:type="dxa"/>
              <w:start w:w="90" w:type="dxa"/>
              <w:bottom w:w="80" w:type="dxa"/>
              <w:end w:w="90" w:type="dxa"/>
            </w:tcMar>
            <w:shd w:fill="F6F8F6"/>
          </w:tcPr>
          <w:p>
            <w:pPr>
              <w:spacing w:after="0"/>
            </w:pPr>
            <w:r>
              <w:rPr>
                <w:sz w:val="15"/>
              </w:rPr>
            </w:r>
            <w:hyperlink r:id="rId59">
              <w:r>
                <w:rPr>
                  <w:color w:val="1F5EA8"/>
                  <w:u w:val="single"/>
                </w:rPr>
                <w:t>www.woninstitute.edu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TX</w:t>
            </w:r>
          </w:p>
        </w:tc>
        <w:tc>
          <w:tcPr>
            <w:tcW w:type="dxa" w:w="3671"/>
            <w:vAlign w:val="center"/>
            <w:tcMar>
              <w:top w:w="80" w:type="dxa"/>
              <w:start w:w="90" w:type="dxa"/>
              <w:bottom w:w="80" w:type="dxa"/>
              <w:end w:w="90" w:type="dxa"/>
            </w:tcMar>
          </w:tcPr>
          <w:p>
            <w:pPr>
              <w:spacing w:after="40" w:before="20"/>
            </w:pPr>
            <w:r>
              <w:rPr>
                <w:rFonts w:ascii="Aptos" w:hAnsi="Aptos"/>
                <w:sz w:val="15"/>
              </w:rPr>
              <w:t>American College of Acupuncture and Oriental Medicine</w:t>
            </w:r>
          </w:p>
        </w:tc>
        <w:tc>
          <w:tcPr>
            <w:tcW w:type="dxa" w:w="2376"/>
            <w:vAlign w:val="center"/>
            <w:tcMar>
              <w:top w:w="80" w:type="dxa"/>
              <w:start w:w="90" w:type="dxa"/>
              <w:bottom w:w="80" w:type="dxa"/>
              <w:end w:w="90" w:type="dxa"/>
            </w:tcMar>
          </w:tcPr>
          <w:p>
            <w:pPr>
              <w:spacing w:after="0"/>
            </w:pPr>
            <w:r>
              <w:rPr>
                <w:sz w:val="15"/>
              </w:rPr>
            </w:r>
            <w:hyperlink r:id="rId60">
              <w:r>
                <w:rPr>
                  <w:color w:val="1F5EA8"/>
                  <w:u w:val="single"/>
                </w:rPr>
                <w:t>www.acaom.edu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TX</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Texas Health and Science University</w:t>
            </w:r>
          </w:p>
        </w:tc>
        <w:tc>
          <w:tcPr>
            <w:tcW w:type="dxa" w:w="2376"/>
            <w:vAlign w:val="center"/>
            <w:tcMar>
              <w:top w:w="80" w:type="dxa"/>
              <w:start w:w="90" w:type="dxa"/>
              <w:bottom w:w="80" w:type="dxa"/>
              <w:end w:w="90" w:type="dxa"/>
            </w:tcMar>
            <w:shd w:fill="F6F8F6"/>
          </w:tcPr>
          <w:p>
            <w:pPr>
              <w:spacing w:after="0"/>
            </w:pPr>
            <w:r>
              <w:rPr>
                <w:sz w:val="15"/>
              </w:rPr>
            </w:r>
            <w:hyperlink r:id="rId61">
              <w:r>
                <w:rPr>
                  <w:color w:val="1F5EA8"/>
                  <w:u w:val="single"/>
                </w:rPr>
                <w:t>thsu.edu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VA</w:t>
            </w:r>
          </w:p>
        </w:tc>
        <w:tc>
          <w:tcPr>
            <w:tcW w:type="dxa" w:w="3671"/>
            <w:vAlign w:val="center"/>
            <w:tcMar>
              <w:top w:w="80" w:type="dxa"/>
              <w:start w:w="90" w:type="dxa"/>
              <w:bottom w:w="80" w:type="dxa"/>
              <w:end w:w="90" w:type="dxa"/>
            </w:tcMar>
          </w:tcPr>
          <w:p>
            <w:pPr>
              <w:spacing w:after="40" w:before="20"/>
            </w:pPr>
            <w:r>
              <w:rPr>
                <w:rFonts w:ascii="Aptos" w:hAnsi="Aptos"/>
                <w:sz w:val="15"/>
              </w:rPr>
              <w:t>Lotus Professional College</w:t>
            </w:r>
          </w:p>
        </w:tc>
        <w:tc>
          <w:tcPr>
            <w:tcW w:type="dxa" w:w="2376"/>
            <w:vAlign w:val="center"/>
            <w:tcMar>
              <w:top w:w="80" w:type="dxa"/>
              <w:start w:w="90" w:type="dxa"/>
              <w:bottom w:w="80" w:type="dxa"/>
              <w:end w:w="90" w:type="dxa"/>
            </w:tcMar>
          </w:tcPr>
          <w:p>
            <w:pPr>
              <w:spacing w:after="0"/>
            </w:pPr>
            <w:r>
              <w:rPr>
                <w:sz w:val="15"/>
              </w:rPr>
            </w:r>
            <w:hyperlink r:id="rId62">
              <w:r>
                <w:rPr>
                  <w:color w:val="1F5EA8"/>
                  <w:u w:val="single"/>
                </w:rPr>
                <w:t>lotus.edu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WA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Bastyr University</w:t>
            </w:r>
          </w:p>
        </w:tc>
        <w:tc>
          <w:tcPr>
            <w:tcW w:type="dxa" w:w="2376"/>
            <w:vAlign w:val="center"/>
            <w:tcMar>
              <w:top w:w="80" w:type="dxa"/>
              <w:start w:w="90" w:type="dxa"/>
              <w:bottom w:w="80" w:type="dxa"/>
              <w:end w:w="90" w:type="dxa"/>
            </w:tcMar>
            <w:shd w:fill="F6F8F6"/>
          </w:tcPr>
          <w:p>
            <w:pPr>
              <w:spacing w:after="0"/>
            </w:pPr>
            <w:r>
              <w:rPr>
                <w:sz w:val="15"/>
              </w:rPr>
            </w:r>
            <w:hyperlink r:id="rId63">
              <w:r>
                <w:rPr>
                  <w:color w:val="1F5EA8"/>
                  <w:u w:val="single"/>
                </w:rPr>
                <w:t>bastyr.edu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r>
        <w:tc>
          <w:tcPr>
            <w:tcW w:type="dxa" w:w="936"/>
            <w:vAlign w:val="center"/>
            <w:tcMar>
              <w:top w:w="80" w:type="dxa"/>
              <w:start w:w="90" w:type="dxa"/>
              <w:bottom w:w="80" w:type="dxa"/>
              <w:end w:w="90" w:type="dxa"/>
            </w:tcMar>
          </w:tcPr>
          <w:p>
            <w:pPr>
              <w:spacing w:after="40" w:before="20"/>
            </w:pPr>
            <w:r>
              <w:rPr>
                <w:rFonts w:ascii="Aptos" w:hAnsi="Aptos"/>
                <w:sz w:val="15"/>
              </w:rPr>
              <w:t>WA</w:t>
            </w:r>
          </w:p>
        </w:tc>
        <w:tc>
          <w:tcPr>
            <w:tcW w:type="dxa" w:w="3671"/>
            <w:vAlign w:val="center"/>
            <w:tcMar>
              <w:top w:w="80" w:type="dxa"/>
              <w:start w:w="90" w:type="dxa"/>
              <w:bottom w:w="80" w:type="dxa"/>
              <w:end w:w="90" w:type="dxa"/>
            </w:tcMar>
          </w:tcPr>
          <w:p>
            <w:pPr>
              <w:spacing w:after="40" w:before="20"/>
            </w:pPr>
            <w:r>
              <w:rPr>
                <w:rFonts w:ascii="Aptos" w:hAnsi="Aptos"/>
                <w:sz w:val="15"/>
              </w:rPr>
              <w:t>Middle Way Acupuncture Institute</w:t>
            </w:r>
          </w:p>
        </w:tc>
        <w:tc>
          <w:tcPr>
            <w:tcW w:type="dxa" w:w="2376"/>
            <w:vAlign w:val="center"/>
            <w:tcMar>
              <w:top w:w="80" w:type="dxa"/>
              <w:start w:w="90" w:type="dxa"/>
              <w:bottom w:w="80" w:type="dxa"/>
              <w:end w:w="90" w:type="dxa"/>
            </w:tcMar>
          </w:tcPr>
          <w:p>
            <w:pPr>
              <w:spacing w:after="0"/>
            </w:pPr>
            <w:r>
              <w:rPr>
                <w:sz w:val="15"/>
              </w:rPr>
            </w:r>
            <w:hyperlink r:id="rId64">
              <w:r>
                <w:rPr>
                  <w:color w:val="1F5EA8"/>
                  <w:u w:val="single"/>
                </w:rPr>
                <w:t>mwai.edu</w:t>
              </w:r>
            </w:hyperlink>
          </w:p>
        </w:tc>
        <w:tc>
          <w:tcPr>
            <w:tcW w:type="dxa" w:w="3096"/>
            <w:vAlign w:val="center"/>
            <w:tcMar>
              <w:top w:w="80" w:type="dxa"/>
              <w:start w:w="90" w:type="dxa"/>
              <w:bottom w:w="80" w:type="dxa"/>
              <w:end w:w="90" w:type="dxa"/>
            </w:tcMar>
          </w:tcPr>
          <w:p>
            <w:r>
              <w:rPr>
                <w:sz w:val="15"/>
              </w:rPr>
              <w:t>Program director/dean; clinical education; alumni or career services</w:t>
            </w:r>
          </w:p>
        </w:tc>
      </w:tr>
      <w:tr>
        <w:tc>
          <w:tcPr>
            <w:tcW w:type="dxa" w:w="936"/>
            <w:vAlign w:val="center"/>
            <w:tcMar>
              <w:top w:w="80" w:type="dxa"/>
              <w:start w:w="90" w:type="dxa"/>
              <w:bottom w:w="80" w:type="dxa"/>
              <w:end w:w="90" w:type="dxa"/>
            </w:tcMar>
            <w:shd w:fill="F6F8F6"/>
          </w:tcPr>
          <w:p>
            <w:pPr>
              <w:spacing w:after="40" w:before="20"/>
            </w:pPr>
            <w:r>
              <w:rPr>
                <w:rFonts w:ascii="Aptos" w:hAnsi="Aptos"/>
                <w:sz w:val="15"/>
              </w:rPr>
              <w:t>WA</w:t>
            </w:r>
          </w:p>
        </w:tc>
        <w:tc>
          <w:tcPr>
            <w:tcW w:type="dxa" w:w="3671"/>
            <w:vAlign w:val="center"/>
            <w:tcMar>
              <w:top w:w="80" w:type="dxa"/>
              <w:start w:w="90" w:type="dxa"/>
              <w:bottom w:w="80" w:type="dxa"/>
              <w:end w:w="90" w:type="dxa"/>
            </w:tcMar>
            <w:shd w:fill="F6F8F6"/>
          </w:tcPr>
          <w:p>
            <w:pPr>
              <w:spacing w:after="40" w:before="20"/>
            </w:pPr>
            <w:r>
              <w:rPr>
                <w:rFonts w:ascii="Aptos" w:hAnsi="Aptos"/>
                <w:sz w:val="15"/>
              </w:rPr>
              <w:t>Seattle Institute of East Asian Medicine</w:t>
            </w:r>
          </w:p>
        </w:tc>
        <w:tc>
          <w:tcPr>
            <w:tcW w:type="dxa" w:w="2376"/>
            <w:vAlign w:val="center"/>
            <w:tcMar>
              <w:top w:w="80" w:type="dxa"/>
              <w:start w:w="90" w:type="dxa"/>
              <w:bottom w:w="80" w:type="dxa"/>
              <w:end w:w="90" w:type="dxa"/>
            </w:tcMar>
            <w:shd w:fill="F6F8F6"/>
          </w:tcPr>
          <w:p>
            <w:pPr>
              <w:spacing w:after="0"/>
            </w:pPr>
            <w:r>
              <w:rPr>
                <w:sz w:val="15"/>
              </w:rPr>
            </w:r>
            <w:hyperlink r:id="rId65">
              <w:r>
                <w:rPr>
                  <w:color w:val="1F5EA8"/>
                  <w:u w:val="single"/>
                </w:rPr>
                <w:t>sieam.edu</w:t>
              </w:r>
            </w:hyperlink>
          </w:p>
        </w:tc>
        <w:tc>
          <w:tcPr>
            <w:tcW w:type="dxa" w:w="3096"/>
            <w:vAlign w:val="center"/>
            <w:tcMar>
              <w:top w:w="80" w:type="dxa"/>
              <w:start w:w="90" w:type="dxa"/>
              <w:bottom w:w="80" w:type="dxa"/>
              <w:end w:w="90" w:type="dxa"/>
            </w:tcMar>
            <w:shd w:fill="F6F8F6"/>
          </w:tcPr>
          <w:p>
            <w:r>
              <w:rPr>
                <w:sz w:val="15"/>
              </w:rPr>
              <w:t>Program director/dean; clinical education; alumni or career services</w:t>
            </w:r>
          </w:p>
        </w:tc>
      </w:tr>
    </w:tbl>
    <w:p>
      <w:pPr>
        <w:pStyle w:val="Heading2"/>
      </w:pPr>
      <w:r>
        <w:t>School liaison registry template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tblHeader w:val="true"/>
        </w:trPr>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State</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School</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Contact</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Title</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Email/phone</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Verified</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Owner</w:t>
            </w:r>
          </w:p>
        </w:tc>
        <w:tc>
          <w:tcPr>
            <w:tcW w:type="dxa" w:w="1260"/>
            <w:vAlign w:val="center"/>
            <w:tcMar>
              <w:top w:w="80" w:type="dxa"/>
              <w:start w:w="90" w:type="dxa"/>
              <w:bottom w:w="80" w:type="dxa"/>
              <w:end w:w="90" w:type="dxa"/>
            </w:tcMar>
            <w:shd w:fill="2E6B3A"/>
          </w:tcPr>
          <w:p>
            <w:pPr>
              <w:spacing w:after="40" w:before="20"/>
            </w:pPr>
            <w:r>
              <w:rPr>
                <w:rFonts w:ascii="Aptos" w:hAnsi="Aptos"/>
                <w:b/>
                <w:color w:val="FFFFFF"/>
                <w:sz w:val="14"/>
              </w:rPr>
              <w:t>Status/next step</w:t>
            </w:r>
          </w:p>
        </w:tc>
      </w:tr>
      <w:tr>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tcPr>
          <w:p>
            <w:pPr>
              <w:spacing w:after="40" w:before="20"/>
            </w:pPr>
            <w:r>
              <w:rPr>
                <w:rFonts w:ascii="Aptos" w:hAnsi="Aptos"/>
                <w:sz w:val="14"/>
              </w:rPr>
              <w:t xml:space="preserve"> </w:t>
            </w:r>
          </w:p>
        </w:tc>
      </w:tr>
      <w:tr>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c>
          <w:tcPr>
            <w:tcW w:type="dxa" w:w="1260"/>
            <w:vAlign w:val="center"/>
            <w:tcMar>
              <w:top w:w="80" w:type="dxa"/>
              <w:start w:w="90" w:type="dxa"/>
              <w:bottom w:w="80" w:type="dxa"/>
              <w:end w:w="90" w:type="dxa"/>
            </w:tcMar>
            <w:shd w:fill="F6F8F6"/>
          </w:tcPr>
          <w:p>
            <w:pPr>
              <w:spacing w:after="40" w:before="20"/>
            </w:pPr>
            <w:r>
              <w:rPr>
                <w:rFonts w:ascii="Aptos" w:hAnsi="Aptos"/>
                <w:sz w:val="14"/>
              </w:rPr>
              <w:t xml:space="preserve"> </w:t>
            </w:r>
          </w:p>
        </w:tc>
      </w:tr>
    </w:tbl>
    <w:p>
      <w:pPr>
        <w:pStyle w:val="Heading1"/>
      </w:pPr>
      <w:r>
        <w:t>Appendix B. Sources and living links</w:t>
      </w:r>
    </w:p>
    <w:p>
      <w:pPr>
        <w:pStyle w:val="SmallNote"/>
      </w:pPr>
      <w:r>
        <w:t xml:space="preserve">1. National Academies of Sciences, Engineering, and Medicine. The Science of Effective Mentorship in STEMM (2019). </w:t>
      </w:r>
      <w:hyperlink r:id="rId12">
        <w:r>
          <w:rPr>
            <w:color w:val="1F5EA8"/>
            <w:u w:val="single"/>
          </w:rPr>
          <w:t>https://www.ncbi.nlm.nih.gov/books/NBK552775/</w:t>
        </w:r>
      </w:hyperlink>
    </w:p>
    <w:p>
      <w:pPr>
        <w:pStyle w:val="SmallNote"/>
      </w:pPr>
      <w:r>
        <w:t xml:space="preserve">2. Association of American Medical Colleges. Mentoring: rules of engagement and mentoring compacts. </w:t>
      </w:r>
      <w:hyperlink r:id="rId13">
        <w:r>
          <w:rPr>
            <w:color w:val="1F5EA8"/>
            <w:u w:val="single"/>
          </w:rPr>
          <w:t>https://www.aamc.org/learn-network/affinity-groups/faculty-staff-vitality-group/leadership-guide/mentoring</w:t>
        </w:r>
      </w:hyperlink>
    </w:p>
    <w:p>
      <w:pPr>
        <w:pStyle w:val="SmallNote"/>
      </w:pPr>
      <w:r>
        <w:t xml:space="preserve">3. AAMC. Compact Between Postdoctoral Appointees and Their Mentors (adapted here only as a general role model). </w:t>
      </w:r>
      <w:hyperlink r:id="rId14">
        <w:r>
          <w:rPr>
            <w:color w:val="1F5EA8"/>
            <w:u w:val="single"/>
          </w:rPr>
          <w:t>https://store.aamc.org/downloadable/download/sample/sample_id/96/</w:t>
        </w:r>
      </w:hyperlink>
    </w:p>
    <w:p>
      <w:pPr>
        <w:pStyle w:val="SmallNote"/>
      </w:pPr>
      <w:r>
        <w:t xml:space="preserve">4. AAMC. Mentorship circles example: two mentors with five to seven mentees. </w:t>
      </w:r>
      <w:hyperlink r:id="rId15">
        <w:r>
          <w:rPr>
            <w:color w:val="1F5EA8"/>
            <w:u w:val="single"/>
          </w:rPr>
          <w:t>https://www.aamc.org/media/77671/download?attachment=</w:t>
        </w:r>
      </w:hyperlink>
    </w:p>
    <w:p>
      <w:pPr>
        <w:pStyle w:val="SmallNote"/>
      </w:pPr>
      <w:r>
        <w:t xml:space="preserve">5. NCBAHM. State Licensure Requirements Interactive Map and regulatory-agency links. </w:t>
      </w:r>
      <w:hyperlink r:id="rId16">
        <w:r>
          <w:rPr>
            <w:color w:val="1F5EA8"/>
            <w:u w:val="single"/>
          </w:rPr>
          <w:t>https://www.nccaom.org/state-licensure/</w:t>
        </w:r>
      </w:hyperlink>
    </w:p>
    <w:p>
      <w:pPr>
        <w:pStyle w:val="SmallNote"/>
      </w:pPr>
      <w:r>
        <w:t xml:space="preserve">6. NCBAHM. Professional Ethics and Discipline; Code of Ethics. </w:t>
      </w:r>
      <w:hyperlink r:id="rId17">
        <w:r>
          <w:rPr>
            <w:color w:val="1F5EA8"/>
            <w:u w:val="single"/>
          </w:rPr>
          <w:t>https://www.nccaom.org/advocacy-regulatory/professional-ethics-and-discipline/</w:t>
        </w:r>
      </w:hyperlink>
    </w:p>
    <w:p>
      <w:pPr>
        <w:pStyle w:val="SmallNote"/>
      </w:pPr>
      <w:r>
        <w:t xml:space="preserve">7. Accreditation Commission for Acupuncture and Herbal Medicine. Directory of Accredited/Pre-accredited Programs and Institutions. </w:t>
      </w:r>
      <w:hyperlink r:id="rId18">
        <w:r>
          <w:rPr>
            <w:color w:val="1F5EA8"/>
            <w:u w:val="single"/>
          </w:rPr>
          <w:t>https://www.acahm.org/directory</w:t>
        </w:r>
      </w:hyperlink>
    </w:p>
    <w:p>
      <w:pPr>
        <w:pStyle w:val="SmallNote"/>
      </w:pPr>
      <w:r>
        <w:t xml:space="preserve">8. American Society of Acupuncturists. Member State Associations. </w:t>
      </w:r>
      <w:hyperlink r:id="rId19">
        <w:r>
          <w:rPr>
            <w:color w:val="1F5EA8"/>
            <w:u w:val="single"/>
          </w:rPr>
          <w:t>https://asacu.org/about-us/state-organizations/</w:t>
        </w:r>
      </w:hyperlink>
    </w:p>
    <w:p>
      <w:pPr>
        <w:pStyle w:val="SmallNote"/>
      </w:pPr>
      <w:r>
        <w:t xml:space="preserve">9. SCORE. Mentoring formats and participant-determined frequency (business mentoring reference). </w:t>
      </w:r>
      <w:hyperlink r:id="rId20">
        <w:r>
          <w:rPr>
            <w:color w:val="1F5EA8"/>
            <w:u w:val="single"/>
          </w:rPr>
          <w:t>https://media.score.org/wp-content/uploads/2021/11/05065108/First-Session-PPT-1-22.pdf</w:t>
        </w:r>
      </w:hyperlink>
    </w:p>
    <w:p>
      <w:pPr>
        <w:pStyle w:val="SmallNote"/>
      </w:pPr>
      <w:r>
        <w:t xml:space="preserve">10. AHRQ. Project ECHO as a weekly case-based tele-mentoring model for clinicians. </w:t>
      </w:r>
      <w:hyperlink r:id="rId21">
        <w:r>
          <w:rPr>
            <w:color w:val="1F5EA8"/>
            <w:u w:val="single"/>
          </w:rPr>
          <w:t>https://www.ahrq.gov/ncepcr/reports/primary-care-research/results.html</w:t>
        </w:r>
      </w:hyperlink>
    </w:p>
    <w:p>
      <w:pPr>
        <w:pStyle w:val="Heading2"/>
      </w:pPr>
      <w:r>
        <w:t>Implementation decisions NGAOM should approve before launch</w:t>
      </w:r>
    </w:p>
    <w:p>
      <w:pPr>
        <w:pStyle w:val="ListBullet"/>
        <w:spacing w:after="50"/>
      </w:pPr>
      <w:r>
        <w:t>[ ] Final public program name and whether the full organization name or NGAOM appears in branding.</w:t>
      </w:r>
    </w:p>
    <w:p>
      <w:pPr>
        <w:pStyle w:val="ListBullet"/>
        <w:spacing w:after="50"/>
      </w:pPr>
      <w:r>
        <w:t>[ ] Whether mentors are volunteer only, receive recognition/benefits, or receive a modest honorarium.</w:t>
      </w:r>
    </w:p>
    <w:p>
      <w:pPr>
        <w:pStyle w:val="ListBullet"/>
        <w:spacing w:after="50"/>
      </w:pPr>
      <w:r>
        <w:t>[ ] Whether the first cohort includes students, new licensees, or both.</w:t>
      </w:r>
    </w:p>
    <w:p>
      <w:pPr>
        <w:pStyle w:val="ListBullet"/>
        <w:spacing w:after="50"/>
      </w:pPr>
      <w:r>
        <w:t>[ ] Minimum mentor experience (recommended: 10 years; exceptions from 7 years).</w:t>
      </w:r>
    </w:p>
    <w:p>
      <w:pPr>
        <w:pStyle w:val="ListBullet"/>
        <w:spacing w:after="50"/>
      </w:pPr>
      <w:r>
        <w:t>[ ] Pilot states, cohort size, program director, matching coordinator, and school liaison coordinator.</w:t>
      </w:r>
    </w:p>
    <w:p>
      <w:pPr>
        <w:pStyle w:val="ListBullet"/>
        <w:spacing w:after="50"/>
      </w:pPr>
      <w:r>
        <w:t>[ ] Legal/liability review, insurer consultation, privacy practices, screening, complaint procedure, and record-retention policy.</w:t>
      </w:r>
    </w:p>
    <w:p>
      <w:pPr>
        <w:pStyle w:val="ListBullet"/>
        <w:spacing w:after="50"/>
      </w:pPr>
      <w:r>
        <w:t>[ ] Final application forms, data collected, public contact email, and application deadline.</w:t>
      </w:r>
    </w:p>
    <w:p>
      <w:pPr>
        <w:pStyle w:val="ListBullet"/>
        <w:spacing w:after="50"/>
      </w:pPr>
      <w:r>
        <w:t>[ ] Whether to pursue NCBAHM PDA/continuing-education recognition for separate mentor training; mentoring hours themselves should not be advertised as credit without approval.[8]</w:t>
      </w:r>
    </w:p>
    <w:p/>
    <w:p>
      <w:pPr>
        <w:jc w:val="center"/>
      </w:pPr>
      <w:r>
        <w:rPr>
          <w:b/>
          <w:i/>
          <w:color w:val="2E6B3A"/>
          <w:sz w:val="24"/>
        </w:rPr>
        <w:t>A strong profession is built not only by what its practitioners know, but by what they pass forward.</w:t>
      </w:r>
    </w:p>
    <w:sectPr w:rsidR="00FC693F" w:rsidRPr="0006063C" w:rsidSect="00034616">
      <w:headerReference w:type="default" r:id="rId9"/>
      <w:footerReference w:type="default" r:id="rId10"/>
      <w:pgSz w:w="12240" w:h="15840"/>
      <w:pgMar w:top="1037"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A706B"/>
        <w:sz w:val="16"/>
      </w:rPr>
      <w:t>National Guild of Acupuncture &amp; Oriental Medicine  |  NGAOM.org  |  Program 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1440"/>
      <w:gridCol w:w="8640"/>
    </w:tblGrid>
    <w:tr>
      <w:tc>
        <w:tcPr>
          <w:tcW w:type="dxa" w:w="5040"/>
        </w:tcPr>
        <w:p>
          <w:r/>
        </w:p>
      </w:tc>
      <w:tc>
        <w:tcPr>
          <w:tcW w:type="dxa" w:w="5040"/>
        </w:tcPr>
        <w:p>
          <w:pPr>
            <w:jc w:val="right"/>
          </w:pPr>
          <w:r>
            <w:rPr>
              <w:b/>
              <w:color w:val="2E6B3A"/>
              <w:sz w:val="17"/>
            </w:rPr>
            <w:t>NGAOM NATIONAL ACUPUNCTURE MENTORSHIP PROGRAM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Display" w:hAnsi="Aptos Display"/>
      <w:b/>
      <w:bCs/>
      <w:color w:val="2E6B3A"/>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Display" w:hAnsi="Aptos Display"/>
      <w:b/>
      <w:bCs/>
      <w:color w:val="243126"/>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Display" w:hAnsi="Aptos Display"/>
      <w:b/>
      <w:bCs/>
      <w:color w:val="2E6B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180"/>
      <w:contextualSpacing/>
    </w:pPr>
    <w:rPr>
      <w:rFonts w:asciiTheme="majorHAnsi" w:eastAsiaTheme="majorEastAsia" w:hAnsiTheme="majorHAnsi" w:cstheme="majorBidi" w:ascii="Aptos Display" w:hAnsi="Aptos Display"/>
      <w:b/>
      <w:color w:val="2E6B3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A625B"/>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ncbi.nlm.nih.gov/books/NBK552775/" TargetMode="External"/><Relationship Id="rId13" Type="http://schemas.openxmlformats.org/officeDocument/2006/relationships/hyperlink" Target="https://www.aamc.org/learn-network/affinity-groups/faculty-staff-vitality-group/leadership-guide/mentoring" TargetMode="External"/><Relationship Id="rId14" Type="http://schemas.openxmlformats.org/officeDocument/2006/relationships/hyperlink" Target="https://store.aamc.org/downloadable/download/sample/sample_id/96/" TargetMode="External"/><Relationship Id="rId15" Type="http://schemas.openxmlformats.org/officeDocument/2006/relationships/hyperlink" Target="https://www.aamc.org/media/77671/download?attachment=" TargetMode="External"/><Relationship Id="rId16" Type="http://schemas.openxmlformats.org/officeDocument/2006/relationships/hyperlink" Target="https://www.nccaom.org/state-licensure/" TargetMode="External"/><Relationship Id="rId17" Type="http://schemas.openxmlformats.org/officeDocument/2006/relationships/hyperlink" Target="https://www.nccaom.org/advocacy-regulatory/professional-ethics-and-discipline/" TargetMode="External"/><Relationship Id="rId18" Type="http://schemas.openxmlformats.org/officeDocument/2006/relationships/hyperlink" Target="https://www.acahm.org/directory" TargetMode="External"/><Relationship Id="rId19" Type="http://schemas.openxmlformats.org/officeDocument/2006/relationships/hyperlink" Target="https://asacu.org/about-us/state-organizations/" TargetMode="External"/><Relationship Id="rId20" Type="http://schemas.openxmlformats.org/officeDocument/2006/relationships/hyperlink" Target="https://media.score.org/wp-content/uploads/2021/11/05065108/First-Session-PPT-1-22.pdf" TargetMode="External"/><Relationship Id="rId21" Type="http://schemas.openxmlformats.org/officeDocument/2006/relationships/hyperlink" Target="https://www.ahrq.gov/ncepcr/reports/primary-care-research/results.html" TargetMode="External"/><Relationship Id="rId22" Type="http://schemas.openxmlformats.org/officeDocument/2006/relationships/hyperlink" Target="https://asaom.edu/" TargetMode="External"/><Relationship Id="rId23" Type="http://schemas.openxmlformats.org/officeDocument/2006/relationships/hyperlink" Target="https://yosan.edu/" TargetMode="External"/><Relationship Id="rId24" Type="http://schemas.openxmlformats.org/officeDocument/2006/relationships/hyperlink" Target="https://acchs.edu/" TargetMode="External"/><Relationship Id="rId25" Type="http://schemas.openxmlformats.org/officeDocument/2006/relationships/hyperlink" Target="https://www.amu.edu/" TargetMode="External"/><Relationship Id="rId26" Type="http://schemas.openxmlformats.org/officeDocument/2006/relationships/hyperlink" Target="https://cusv.edu/" TargetMode="External"/><Relationship Id="rId27" Type="http://schemas.openxmlformats.org/officeDocument/2006/relationships/hyperlink" Target="https://dula.edu/" TargetMode="External"/><Relationship Id="rId28" Type="http://schemas.openxmlformats.org/officeDocument/2006/relationships/hyperlink" Target="https://www.fivebranches.edu/" TargetMode="External"/><Relationship Id="rId29" Type="http://schemas.openxmlformats.org/officeDocument/2006/relationships/hyperlink" Target="https://www.southbaylo.edu/" TargetMode="External"/><Relationship Id="rId30" Type="http://schemas.openxmlformats.org/officeDocument/2006/relationships/hyperlink" Target="https://www.scuhs.edu/masters-degrees/master-of-acupuncture-and-chinese-herbal-medicine/" TargetMode="External"/><Relationship Id="rId31" Type="http://schemas.openxmlformats.org/officeDocument/2006/relationships/hyperlink" Target="https://uewm.edu/" TargetMode="External"/><Relationship Id="rId32" Type="http://schemas.openxmlformats.org/officeDocument/2006/relationships/hyperlink" Target="https://www.pacificcollege.edu/" TargetMode="External"/><Relationship Id="rId33" Type="http://schemas.openxmlformats.org/officeDocument/2006/relationships/hyperlink" Target="https://www.aimc.edu/" TargetMode="External"/><Relationship Id="rId34" Type="http://schemas.openxmlformats.org/officeDocument/2006/relationships/hyperlink" Target="https://ccmu.edu/" TargetMode="External"/><Relationship Id="rId35" Type="http://schemas.openxmlformats.org/officeDocument/2006/relationships/hyperlink" Target="https://www.itea.edu/" TargetMode="External"/><Relationship Id="rId36" Type="http://schemas.openxmlformats.org/officeDocument/2006/relationships/hyperlink" Target="https://www.bridgeport.edu/academics/schools-colleges/acupuncture-institute/" TargetMode="External"/><Relationship Id="rId37" Type="http://schemas.openxmlformats.org/officeDocument/2006/relationships/hyperlink" Target="https://acupuncturist.edu/" TargetMode="External"/><Relationship Id="rId38" Type="http://schemas.openxmlformats.org/officeDocument/2006/relationships/hyperlink" Target="https://atom.edu/" TargetMode="External"/><Relationship Id="rId39" Type="http://schemas.openxmlformats.org/officeDocument/2006/relationships/hyperlink" Target="https://dragonrises.edu/" TargetMode="External"/><Relationship Id="rId40" Type="http://schemas.openxmlformats.org/officeDocument/2006/relationships/hyperlink" Target="https://www.fcim.edu/" TargetMode="External"/><Relationship Id="rId41" Type="http://schemas.openxmlformats.org/officeDocument/2006/relationships/hyperlink" Target="https://www.hanbit.edu/" TargetMode="External"/><Relationship Id="rId42" Type="http://schemas.openxmlformats.org/officeDocument/2006/relationships/hyperlink" Target="https://www.vuim.edu/" TargetMode="External"/><Relationship Id="rId43" Type="http://schemas.openxmlformats.org/officeDocument/2006/relationships/hyperlink" Target="https://www.orientalmedicine.edu/" TargetMode="External"/><Relationship Id="rId44" Type="http://schemas.openxmlformats.org/officeDocument/2006/relationships/hyperlink" Target="https://www.ccom.edu/" TargetMode="External"/><Relationship Id="rId45" Type="http://schemas.openxmlformats.org/officeDocument/2006/relationships/hyperlink" Target="https://www.nuhs.edu/academics/acupuncture/" TargetMode="External"/><Relationship Id="rId46" Type="http://schemas.openxmlformats.org/officeDocument/2006/relationships/hyperlink" Target="https://acupuncture.edu/" TargetMode="External"/><Relationship Id="rId47" Type="http://schemas.openxmlformats.org/officeDocument/2006/relationships/hyperlink" Target="https://www.mcphs.edu/academics/schools/new-england-school-of-acupuncture" TargetMode="External"/><Relationship Id="rId48" Type="http://schemas.openxmlformats.org/officeDocument/2006/relationships/hyperlink" Target="https://acupunctureschoolusa.com/" TargetMode="External"/><Relationship Id="rId49" Type="http://schemas.openxmlformats.org/officeDocument/2006/relationships/hyperlink" Target="https://www.nwhealth.edu/academics/acupuncture-chinese-medicine/" TargetMode="External"/><Relationship Id="rId50" Type="http://schemas.openxmlformats.org/officeDocument/2006/relationships/hyperlink" Target="https://www.daoisttraditions.edu/" TargetMode="External"/><Relationship Id="rId51" Type="http://schemas.openxmlformats.org/officeDocument/2006/relationships/hyperlink" Target="https://jungtao.edu/" TargetMode="External"/><Relationship Id="rId52" Type="http://schemas.openxmlformats.org/officeDocument/2006/relationships/hyperlink" Target="https://esatm.edu/" TargetMode="External"/><Relationship Id="rId53" Type="http://schemas.openxmlformats.org/officeDocument/2006/relationships/hyperlink" Target="https://wongu.edu/" TargetMode="External"/><Relationship Id="rId54" Type="http://schemas.openxmlformats.org/officeDocument/2006/relationships/hyperlink" Target="https://www.nycollege.edu/" TargetMode="External"/><Relationship Id="rId55" Type="http://schemas.openxmlformats.org/officeDocument/2006/relationships/hyperlink" Target="https://nyctcm.edu/" TargetMode="External"/><Relationship Id="rId56" Type="http://schemas.openxmlformats.org/officeDocument/2006/relationships/hyperlink" Target="https://www.aiam.edu/" TargetMode="External"/><Relationship Id="rId57" Type="http://schemas.openxmlformats.org/officeDocument/2006/relationships/hyperlink" Target="https://nunm.edu/academics/master-of-acupuncture/" TargetMode="External"/><Relationship Id="rId58" Type="http://schemas.openxmlformats.org/officeDocument/2006/relationships/hyperlink" Target="https://www.workingclassacupuncture.org/oregon-college-of-community-acupuncture/the-school/" TargetMode="External"/><Relationship Id="rId59" Type="http://schemas.openxmlformats.org/officeDocument/2006/relationships/hyperlink" Target="https://www.woninstitute.edu/" TargetMode="External"/><Relationship Id="rId60" Type="http://schemas.openxmlformats.org/officeDocument/2006/relationships/hyperlink" Target="https://www.acaom.edu/" TargetMode="External"/><Relationship Id="rId61" Type="http://schemas.openxmlformats.org/officeDocument/2006/relationships/hyperlink" Target="https://thsu.edu/" TargetMode="External"/><Relationship Id="rId62" Type="http://schemas.openxmlformats.org/officeDocument/2006/relationships/hyperlink" Target="https://lotus.edu/" TargetMode="External"/><Relationship Id="rId63" Type="http://schemas.openxmlformats.org/officeDocument/2006/relationships/hyperlink" Target="https://bastyr.edu/academics/acupuncture-east-asian-medicine" TargetMode="External"/><Relationship Id="rId64" Type="http://schemas.openxmlformats.org/officeDocument/2006/relationships/hyperlink" Target="https://mwai.edu/" TargetMode="External"/><Relationship Id="rId65" Type="http://schemas.openxmlformats.org/officeDocument/2006/relationships/hyperlink" Target="https://sieam.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NGAOM National Acupuncture Mentorship Program Guide</dc:title>
  <dc:subject>Nationwide mentorship program for acupuncture students and newly licensed acupuncturists</dc:subject>
  <dc:creator>National Guild of Acupuncture &amp; Oriental Medicine</dc:creator>
  <cp:keywords>acupuncture, mentorship, mentor, mentee, new licensee, schools, NGAOM</cp:keywords>
  <dc:description>generated by python-docx</dc:description>
  <cp:lastModifiedBy/>
  <cp:revision>1</cp:revision>
  <dcterms:created xsi:type="dcterms:W3CDTF">2013-12-23T23:15:00Z</dcterms:created>
  <dcterms:modified xsi:type="dcterms:W3CDTF">2013-12-23T23:15:00Z</dcterms:modified>
  <cp:category/>
</cp:coreProperties>
</file>